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4C0AE2" w14:textId="77777777" w:rsidR="007C682E" w:rsidRPr="00C60F01" w:rsidRDefault="007C682E" w:rsidP="00C60F01">
      <w:pPr>
        <w:pStyle w:val="1"/>
      </w:pPr>
      <w:r w:rsidRPr="007C682E">
        <w:t>脅威と脆弱性</w:t>
      </w:r>
    </w:p>
    <w:p w14:paraId="5D4A25A4" w14:textId="79207B5F" w:rsidR="007C682E" w:rsidRPr="007C682E" w:rsidRDefault="007C682E" w:rsidP="007C682E">
      <w:r w:rsidRPr="007C682E">
        <w:rPr>
          <w:rFonts w:hint="eastAsia"/>
        </w:rPr>
        <w:t>現在、多くの企業などにおいてシステムやインターネットが活用されています。誰でも素早く簡単に情報を利用できるメリットがある反面、コンピューターウイルスに感染したりシステムに不正にアクセスされたりする事例があとを絶ちません。これらのリスクから情報資産を守って安全に活用するためには、取り巻く</w:t>
      </w:r>
      <w:r w:rsidR="00AE2BFB">
        <w:rPr>
          <w:rFonts w:hint="eastAsia"/>
        </w:rPr>
        <w:t>様々な</w:t>
      </w:r>
      <w:r w:rsidRPr="007C682E">
        <w:rPr>
          <w:rFonts w:hint="eastAsia"/>
        </w:rPr>
        <w:t>脅威や脆弱性を把握して適切な対策を講じていくことが重要です。</w:t>
      </w:r>
    </w:p>
    <w:p w14:paraId="1D6E6BE1" w14:textId="77777777" w:rsidR="007C682E" w:rsidRPr="007C682E" w:rsidRDefault="007C682E" w:rsidP="007C682E">
      <w:pPr>
        <w:pStyle w:val="2"/>
        <w:numPr>
          <w:ilvl w:val="1"/>
          <w:numId w:val="1"/>
        </w:numPr>
      </w:pPr>
      <w:r w:rsidRPr="007C682E">
        <w:t>人的脅威</w:t>
      </w:r>
    </w:p>
    <w:p w14:paraId="302D63FE" w14:textId="77777777" w:rsidR="007C682E" w:rsidRPr="007C682E" w:rsidRDefault="007C682E" w:rsidP="007C682E">
      <w:r w:rsidRPr="007C682E">
        <w:rPr>
          <w:rFonts w:hint="eastAsia"/>
        </w:rPr>
        <w:t>人的・物理的な手口によって重要な情報を入手し、その情報を悪用することをセキュリティの世界では「ソーシャルエンジニアリング」といいます。技術的な手口を知らなくても、人間の心理的な弱点を突くことで誰でも簡単に情報を悪用できるため、警戒が必要です。</w:t>
      </w:r>
    </w:p>
    <w:p w14:paraId="3B8EF398" w14:textId="77777777" w:rsidR="007C682E" w:rsidRPr="007C682E" w:rsidRDefault="007C682E" w:rsidP="007C682E">
      <w:pPr>
        <w:pStyle w:val="2"/>
        <w:numPr>
          <w:ilvl w:val="1"/>
          <w:numId w:val="1"/>
        </w:numPr>
      </w:pPr>
      <w:r w:rsidRPr="007C682E">
        <w:t>技術的脅威</w:t>
      </w:r>
    </w:p>
    <w:p w14:paraId="7623EAAD" w14:textId="2116229A" w:rsidR="007C682E" w:rsidRPr="007C682E" w:rsidRDefault="007C682E" w:rsidP="007C682E">
      <w:r w:rsidRPr="007C682E">
        <w:rPr>
          <w:rFonts w:hint="eastAsia"/>
        </w:rPr>
        <w:t>技術的脅威として、</w:t>
      </w:r>
      <w:r w:rsidRPr="007C682E">
        <w:t>Webサーバーやメールサーバーなどの外部からアクセスできるサーバーに対して</w:t>
      </w:r>
      <w:r w:rsidR="00AE2BFB">
        <w:t>様々な</w:t>
      </w:r>
      <w:r w:rsidRPr="007C682E">
        <w:t>手口を使って、サーバー内のデータを盗み見たり改ざんしたり、サーバーに過負荷をかけて停止させたりすることがあります。このような攻撃を行う者を「クラッカー」といいます。</w:t>
      </w:r>
    </w:p>
    <w:p w14:paraId="5AEEF498" w14:textId="77777777" w:rsidR="007C682E" w:rsidRPr="007C682E" w:rsidRDefault="007C682E" w:rsidP="007C682E">
      <w:r w:rsidRPr="007C682E">
        <w:rPr>
          <w:rFonts w:hint="eastAsia"/>
        </w:rPr>
        <w:t>代表的な技術的脅威として、次のようなものがあります。</w:t>
      </w:r>
    </w:p>
    <w:tbl>
      <w:tblPr>
        <w:tblStyle w:val="a3"/>
        <w:tblW w:w="5000" w:type="pct"/>
        <w:tblLook w:val="04A0" w:firstRow="1" w:lastRow="0" w:firstColumn="1" w:lastColumn="0" w:noHBand="0" w:noVBand="1"/>
      </w:tblPr>
      <w:tblGrid>
        <w:gridCol w:w="3398"/>
        <w:gridCol w:w="6338"/>
      </w:tblGrid>
      <w:tr w:rsidR="007C682E" w:rsidRPr="007C682E" w14:paraId="4DA6A7C0" w14:textId="77777777" w:rsidTr="00EC1CCB">
        <w:tc>
          <w:tcPr>
            <w:tcW w:w="1745" w:type="pct"/>
            <w:shd w:val="clear" w:color="auto" w:fill="EDEDED" w:themeFill="accent3" w:themeFillTint="33"/>
          </w:tcPr>
          <w:p w14:paraId="1C2A4DE7" w14:textId="77777777" w:rsidR="007C682E" w:rsidRPr="007C682E" w:rsidRDefault="007C682E" w:rsidP="007C682E">
            <w:pPr>
              <w:jc w:val="center"/>
              <w:rPr>
                <w:b/>
              </w:rPr>
            </w:pPr>
            <w:r w:rsidRPr="007C682E">
              <w:rPr>
                <w:rFonts w:hint="eastAsia"/>
                <w:b/>
              </w:rPr>
              <w:t>種類</w:t>
            </w:r>
          </w:p>
        </w:tc>
        <w:tc>
          <w:tcPr>
            <w:tcW w:w="3255" w:type="pct"/>
            <w:shd w:val="clear" w:color="auto" w:fill="EDEDED" w:themeFill="accent3" w:themeFillTint="33"/>
          </w:tcPr>
          <w:p w14:paraId="1DFB52DD" w14:textId="77777777" w:rsidR="007C682E" w:rsidRPr="007C682E" w:rsidRDefault="007C682E" w:rsidP="007C682E">
            <w:pPr>
              <w:jc w:val="center"/>
              <w:rPr>
                <w:b/>
              </w:rPr>
            </w:pPr>
            <w:r w:rsidRPr="007C682E">
              <w:rPr>
                <w:b/>
              </w:rPr>
              <w:t>説明</w:t>
            </w:r>
          </w:p>
        </w:tc>
      </w:tr>
      <w:tr w:rsidR="007C682E" w:rsidRPr="007C682E" w14:paraId="1989BEDB" w14:textId="77777777" w:rsidTr="00EC1CCB">
        <w:tc>
          <w:tcPr>
            <w:tcW w:w="1745" w:type="pct"/>
          </w:tcPr>
          <w:p w14:paraId="0D7E44D3" w14:textId="77777777" w:rsidR="007C682E" w:rsidRPr="007C682E" w:rsidRDefault="007C682E" w:rsidP="007C682E">
            <w:r w:rsidRPr="007C682E">
              <w:rPr>
                <w:rFonts w:hint="eastAsia"/>
              </w:rPr>
              <w:t>コンピューターウイルス</w:t>
            </w:r>
          </w:p>
        </w:tc>
        <w:tc>
          <w:tcPr>
            <w:tcW w:w="3255" w:type="pct"/>
          </w:tcPr>
          <w:p w14:paraId="4022FE7C" w14:textId="24888868" w:rsidR="007C682E" w:rsidRPr="007C682E" w:rsidRDefault="007C682E" w:rsidP="007C682E">
            <w:r w:rsidRPr="007C682E">
              <w:t>利用者の知らない間にコンピューターに侵入し、コンピューター内のデータを破壊したり、ほかのコンピューターに増殖したりするなどを目的に作られた、悪意のあるプログラム。ネットワークに接続されたコンピューターに対して、次々と自己増殖していく「ワーム」もコンピューターウイルスのひとつ。ネットワーク</w:t>
            </w:r>
            <w:r w:rsidR="00EC1CCB">
              <w:rPr>
                <w:rFonts w:hint="eastAsia"/>
              </w:rPr>
              <w:t>に過</w:t>
            </w:r>
            <w:r w:rsidRPr="007C682E">
              <w:t>負荷</w:t>
            </w:r>
            <w:r w:rsidR="00EC1CCB">
              <w:rPr>
                <w:rFonts w:hint="eastAsia"/>
              </w:rPr>
              <w:t>をかけて、</w:t>
            </w:r>
            <w:r w:rsidRPr="007C682E">
              <w:t>被害を増大させる。</w:t>
            </w:r>
          </w:p>
        </w:tc>
      </w:tr>
      <w:tr w:rsidR="007C682E" w:rsidRPr="007C682E" w14:paraId="5CEDC700" w14:textId="77777777" w:rsidTr="00EC1CCB">
        <w:tc>
          <w:tcPr>
            <w:tcW w:w="1745" w:type="pct"/>
          </w:tcPr>
          <w:p w14:paraId="546B88EF" w14:textId="77777777" w:rsidR="007C682E" w:rsidRPr="007C682E" w:rsidRDefault="007C682E" w:rsidP="007C682E">
            <w:r w:rsidRPr="007C682E">
              <w:rPr>
                <w:rFonts w:hint="eastAsia"/>
              </w:rPr>
              <w:t>バッファオーバーフロー攻撃</w:t>
            </w:r>
          </w:p>
        </w:tc>
        <w:tc>
          <w:tcPr>
            <w:tcW w:w="3255" w:type="pct"/>
          </w:tcPr>
          <w:p w14:paraId="3C712D90" w14:textId="77777777" w:rsidR="007C682E" w:rsidRPr="007C682E" w:rsidRDefault="007C682E" w:rsidP="007C682E">
            <w:r w:rsidRPr="007C682E">
              <w:t>コンピューター上で動作しているプログラムで確保しているメモリ容量（バッファ）を超えるデータを送り、バッファをあふれさせクラッカーが意図する不正な処理を実行させる。</w:t>
            </w:r>
          </w:p>
        </w:tc>
      </w:tr>
      <w:tr w:rsidR="007C682E" w:rsidRPr="007C682E" w14:paraId="5CF4F6F4" w14:textId="77777777" w:rsidTr="00EC1CCB">
        <w:tc>
          <w:tcPr>
            <w:tcW w:w="1745" w:type="pct"/>
          </w:tcPr>
          <w:p w14:paraId="28F8351A" w14:textId="77777777" w:rsidR="007C682E" w:rsidRPr="007C682E" w:rsidRDefault="007C682E" w:rsidP="007C682E">
            <w:r w:rsidRPr="007C682E">
              <w:rPr>
                <w:rFonts w:hint="eastAsia"/>
              </w:rPr>
              <w:t>クロスサイトスクリプティング</w:t>
            </w:r>
          </w:p>
        </w:tc>
        <w:tc>
          <w:tcPr>
            <w:tcW w:w="3255" w:type="pct"/>
          </w:tcPr>
          <w:p w14:paraId="5519E1B6" w14:textId="77777777" w:rsidR="007C682E" w:rsidRPr="007C682E" w:rsidRDefault="007C682E" w:rsidP="007C682E">
            <w:r w:rsidRPr="007C682E">
              <w:t>ソフトウェアのセキュリティホールのひとつで、悪意のあるWebサイトを閲覧したときに、埋め込まれているコードを介して個人情報が盗み出されたり、コンピューター上のファイルが破壊されたりする。</w:t>
            </w:r>
          </w:p>
        </w:tc>
      </w:tr>
      <w:tr w:rsidR="007C682E" w:rsidRPr="007C682E" w14:paraId="05F4AAC0" w14:textId="77777777" w:rsidTr="00EC1CCB">
        <w:tc>
          <w:tcPr>
            <w:tcW w:w="1745" w:type="pct"/>
          </w:tcPr>
          <w:p w14:paraId="3CB2E7CD" w14:textId="77777777" w:rsidR="007C682E" w:rsidRPr="007C682E" w:rsidRDefault="007C682E" w:rsidP="007C682E">
            <w:r w:rsidRPr="007C682E">
              <w:t>DoS（Denial of Service）攻撃</w:t>
            </w:r>
          </w:p>
        </w:tc>
        <w:tc>
          <w:tcPr>
            <w:tcW w:w="3255" w:type="pct"/>
          </w:tcPr>
          <w:p w14:paraId="3673724C" w14:textId="77777777" w:rsidR="007C682E" w:rsidRPr="007C682E" w:rsidRDefault="007C682E" w:rsidP="007C682E">
            <w:r w:rsidRPr="007C682E">
              <w:t>サーバーに過負荷をかけ、その機能を停止させる。一般的には、サーバーが処理することができないくらいの大量のパケットを送る方法が使われる。DoS攻撃によってネットワークが混雑することで、一般の利用者がサーバーを利用できなくなる場合もある。</w:t>
            </w:r>
          </w:p>
        </w:tc>
      </w:tr>
    </w:tbl>
    <w:p w14:paraId="4473205B" w14:textId="77777777" w:rsidR="007C682E" w:rsidRPr="007C682E" w:rsidRDefault="007C682E" w:rsidP="007C682E">
      <w:pPr>
        <w:pStyle w:val="2"/>
        <w:numPr>
          <w:ilvl w:val="1"/>
          <w:numId w:val="1"/>
        </w:numPr>
      </w:pPr>
      <w:r w:rsidRPr="007C682E">
        <w:t>物理的脅威</w:t>
      </w:r>
    </w:p>
    <w:p w14:paraId="0FAD21C5" w14:textId="77777777" w:rsidR="007C682E" w:rsidRPr="007C682E" w:rsidRDefault="007C682E" w:rsidP="007C682E">
      <w:r w:rsidRPr="007C682E">
        <w:rPr>
          <w:rFonts w:hint="eastAsia"/>
        </w:rPr>
        <w:t>自然災害や、破壊・妨害行為、事故や故障（エラー）などによって、情報にアクセスできなかったり情報が壊れてしまったりすることで、業務の遂行やサービスの提供に支障をきたしてしまうことがあります。これらの脅威の発生を抑制するのは難しく、脅威の発生後の対応を含めた対策が必要となります。</w:t>
      </w:r>
    </w:p>
    <w:p w14:paraId="7FF54CD1" w14:textId="77777777" w:rsidR="007C682E" w:rsidRPr="007C682E" w:rsidRDefault="007C682E" w:rsidP="007C682E"/>
    <w:p w14:paraId="0090EE5B" w14:textId="77777777" w:rsidR="007C682E" w:rsidRPr="007C682E" w:rsidRDefault="007C682E" w:rsidP="007C682E">
      <w:pPr>
        <w:pStyle w:val="2"/>
        <w:numPr>
          <w:ilvl w:val="1"/>
          <w:numId w:val="1"/>
        </w:numPr>
      </w:pPr>
      <w:r w:rsidRPr="007C682E">
        <w:lastRenderedPageBreak/>
        <w:t>脆弱性</w:t>
      </w:r>
    </w:p>
    <w:p w14:paraId="5314D96C" w14:textId="77777777" w:rsidR="007C682E" w:rsidRPr="007C682E" w:rsidRDefault="007C682E" w:rsidP="007C682E">
      <w:r w:rsidRPr="007C682E">
        <w:rPr>
          <w:rFonts w:hint="eastAsia"/>
        </w:rPr>
        <w:t>「脆弱性」とは、情報セキュリティに関する欠陥や弱点のことをいいます。</w:t>
      </w:r>
    </w:p>
    <w:p w14:paraId="61E5DF32" w14:textId="77777777" w:rsidR="007C682E" w:rsidRPr="007C682E" w:rsidRDefault="007C682E" w:rsidP="007C682E">
      <w:r w:rsidRPr="007C682E">
        <w:rPr>
          <w:rFonts w:hint="eastAsia"/>
        </w:rPr>
        <w:t>代表的な脆弱性として、次のようなものがあります。</w:t>
      </w:r>
    </w:p>
    <w:tbl>
      <w:tblPr>
        <w:tblStyle w:val="a3"/>
        <w:tblW w:w="5000" w:type="pct"/>
        <w:tblLook w:val="04A0" w:firstRow="1" w:lastRow="0" w:firstColumn="1" w:lastColumn="0" w:noHBand="0" w:noVBand="1"/>
      </w:tblPr>
      <w:tblGrid>
        <w:gridCol w:w="2971"/>
        <w:gridCol w:w="6765"/>
      </w:tblGrid>
      <w:tr w:rsidR="007C682E" w:rsidRPr="007C682E" w14:paraId="5C606648" w14:textId="77777777" w:rsidTr="00FC4A5D">
        <w:tc>
          <w:tcPr>
            <w:tcW w:w="1526" w:type="pct"/>
            <w:shd w:val="clear" w:color="auto" w:fill="EDEDED" w:themeFill="accent3" w:themeFillTint="33"/>
            <w:vAlign w:val="center"/>
          </w:tcPr>
          <w:p w14:paraId="4AB07A19" w14:textId="77777777" w:rsidR="007C682E" w:rsidRPr="007C682E" w:rsidRDefault="007C682E" w:rsidP="00FC4A5D">
            <w:pPr>
              <w:jc w:val="center"/>
              <w:rPr>
                <w:b/>
              </w:rPr>
            </w:pPr>
            <w:r w:rsidRPr="007C682E">
              <w:rPr>
                <w:rFonts w:hint="eastAsia"/>
                <w:b/>
              </w:rPr>
              <w:t>種類</w:t>
            </w:r>
          </w:p>
        </w:tc>
        <w:tc>
          <w:tcPr>
            <w:tcW w:w="3474" w:type="pct"/>
            <w:shd w:val="clear" w:color="auto" w:fill="EDEDED" w:themeFill="accent3" w:themeFillTint="33"/>
            <w:vAlign w:val="center"/>
          </w:tcPr>
          <w:p w14:paraId="6F48F15D" w14:textId="77777777" w:rsidR="007C682E" w:rsidRPr="007C682E" w:rsidRDefault="007C682E" w:rsidP="00FC4A5D">
            <w:pPr>
              <w:jc w:val="center"/>
              <w:rPr>
                <w:b/>
              </w:rPr>
            </w:pPr>
            <w:r w:rsidRPr="007C682E">
              <w:rPr>
                <w:b/>
              </w:rPr>
              <w:t>説明</w:t>
            </w:r>
          </w:p>
        </w:tc>
      </w:tr>
      <w:tr w:rsidR="007C682E" w:rsidRPr="007C682E" w14:paraId="7EE96740" w14:textId="77777777" w:rsidTr="00FC4A5D">
        <w:tc>
          <w:tcPr>
            <w:tcW w:w="1526" w:type="pct"/>
          </w:tcPr>
          <w:p w14:paraId="7940CEC4" w14:textId="77777777" w:rsidR="007C682E" w:rsidRPr="007C682E" w:rsidRDefault="007C682E" w:rsidP="007C682E">
            <w:r w:rsidRPr="007C682E">
              <w:rPr>
                <w:rFonts w:hint="eastAsia"/>
              </w:rPr>
              <w:t>セキュリティホール</w:t>
            </w:r>
          </w:p>
        </w:tc>
        <w:tc>
          <w:tcPr>
            <w:tcW w:w="3474" w:type="pct"/>
          </w:tcPr>
          <w:p w14:paraId="464923A6" w14:textId="77777777" w:rsidR="007C682E" w:rsidRPr="007C682E" w:rsidRDefault="007C682E" w:rsidP="007C682E">
            <w:r w:rsidRPr="007C682E">
              <w:t>開発段階では想定していないセキュリティ上の脆弱性。セキュリティホールを悪用されると、コンピューターウイルスに感染させられたり、外部から攻撃を受けたりする恐れがある。</w:t>
            </w:r>
          </w:p>
        </w:tc>
      </w:tr>
      <w:tr w:rsidR="007C682E" w:rsidRPr="007C682E" w14:paraId="7B4CBE4C" w14:textId="77777777" w:rsidTr="00FC4A5D">
        <w:tc>
          <w:tcPr>
            <w:tcW w:w="1526" w:type="pct"/>
          </w:tcPr>
          <w:p w14:paraId="5B2AFB2F" w14:textId="77777777" w:rsidR="007C682E" w:rsidRPr="007C682E" w:rsidRDefault="007C682E" w:rsidP="007C682E">
            <w:r w:rsidRPr="007C682E">
              <w:rPr>
                <w:rFonts w:hint="eastAsia"/>
              </w:rPr>
              <w:t>人為的脆弱性</w:t>
            </w:r>
          </w:p>
        </w:tc>
        <w:tc>
          <w:tcPr>
            <w:tcW w:w="3474" w:type="pct"/>
          </w:tcPr>
          <w:p w14:paraId="1AF31A82" w14:textId="77777777" w:rsidR="007C682E" w:rsidRPr="007C682E" w:rsidRDefault="007C682E" w:rsidP="007C682E">
            <w:r w:rsidRPr="007C682E">
              <w:t>組織や個人に対する、行動規範の不徹底や未整備に起</w:t>
            </w:r>
            <w:bookmarkStart w:id="0" w:name="_GoBack"/>
            <w:bookmarkEnd w:id="0"/>
            <w:r w:rsidRPr="007C682E">
              <w:t>因する脆弱性。セキュリティ規定の作成や、教育訓練の徹底が求められる。</w:t>
            </w:r>
          </w:p>
        </w:tc>
      </w:tr>
    </w:tbl>
    <w:p w14:paraId="4A2D57FA" w14:textId="77777777" w:rsidR="007C682E" w:rsidRPr="007C682E" w:rsidRDefault="007C682E" w:rsidP="007C682E"/>
    <w:sectPr w:rsidR="007C682E" w:rsidRPr="007C682E" w:rsidSect="007C682E">
      <w:footerReference w:type="default" r:id="rId7"/>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75639F" w14:textId="77777777" w:rsidR="001C6A0A" w:rsidRDefault="001C6A0A">
      <w:r>
        <w:separator/>
      </w:r>
    </w:p>
  </w:endnote>
  <w:endnote w:type="continuationSeparator" w:id="0">
    <w:p w14:paraId="47DFB6B7" w14:textId="77777777" w:rsidR="001C6A0A" w:rsidRDefault="001C6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1430878"/>
      <w:docPartObj>
        <w:docPartGallery w:val="Page Numbers (Bottom of Page)"/>
        <w:docPartUnique/>
      </w:docPartObj>
    </w:sdtPr>
    <w:sdtEndPr/>
    <w:sdtContent>
      <w:p w14:paraId="5A5F9C17" w14:textId="77777777" w:rsidR="00B91B69" w:rsidRDefault="007C682E">
        <w:pPr>
          <w:pStyle w:val="a4"/>
          <w:jc w:val="center"/>
        </w:pPr>
        <w:r>
          <w:fldChar w:fldCharType="begin"/>
        </w:r>
        <w:r>
          <w:instrText>PAGE   \* MERGEFORMAT</w:instrText>
        </w:r>
        <w:r>
          <w:fldChar w:fldCharType="separate"/>
        </w:r>
        <w:r w:rsidRPr="00FA124B">
          <w:rPr>
            <w:noProof/>
            <w:lang w:val="ja-JP"/>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A36AD4" w14:textId="77777777" w:rsidR="001C6A0A" w:rsidRDefault="001C6A0A">
      <w:r>
        <w:separator/>
      </w:r>
    </w:p>
  </w:footnote>
  <w:footnote w:type="continuationSeparator" w:id="0">
    <w:p w14:paraId="272AE5F3" w14:textId="77777777" w:rsidR="001C6A0A" w:rsidRDefault="001C6A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E389F"/>
    <w:multiLevelType w:val="multilevel"/>
    <w:tmpl w:val="584A7E40"/>
    <w:lvl w:ilvl="0">
      <w:start w:val="2"/>
      <w:numFmt w:val="decimal"/>
      <w:lvlText w:val="%1"/>
      <w:lvlJc w:val="left"/>
      <w:pPr>
        <w:ind w:left="454" w:hanging="454"/>
      </w:pPr>
      <w:rPr>
        <w:rFonts w:hint="eastAsia"/>
      </w:rPr>
    </w:lvl>
    <w:lvl w:ilvl="1">
      <w:start w:val="1"/>
      <w:numFmt w:val="decimalEnclosedCircle"/>
      <w:lvlText w:val="%2"/>
      <w:lvlJc w:val="left"/>
      <w:pPr>
        <w:ind w:left="454" w:hanging="454"/>
      </w:pPr>
      <w:rPr>
        <w:rFonts w:hint="eastAsia"/>
      </w:rPr>
    </w:lvl>
    <w:lvl w:ilvl="2">
      <w:start w:val="1"/>
      <w:numFmt w:val="decimal"/>
      <w:lvlText w:val="%1.%2.%3"/>
      <w:lvlJc w:val="left"/>
      <w:pPr>
        <w:ind w:left="454" w:hanging="454"/>
      </w:pPr>
      <w:rPr>
        <w:rFonts w:hint="eastAsia"/>
      </w:rPr>
    </w:lvl>
    <w:lvl w:ilvl="3">
      <w:start w:val="1"/>
      <w:numFmt w:val="decimal"/>
      <w:lvlText w:val="%1.%2.%3.%4"/>
      <w:lvlJc w:val="left"/>
      <w:pPr>
        <w:ind w:left="454" w:hanging="454"/>
      </w:pPr>
      <w:rPr>
        <w:rFonts w:hint="eastAsia"/>
      </w:rPr>
    </w:lvl>
    <w:lvl w:ilvl="4">
      <w:start w:val="1"/>
      <w:numFmt w:val="decimal"/>
      <w:lvlText w:val="%1.%2.%3.%4.%5"/>
      <w:lvlJc w:val="left"/>
      <w:pPr>
        <w:ind w:left="454" w:hanging="454"/>
      </w:pPr>
      <w:rPr>
        <w:rFonts w:hint="eastAsia"/>
      </w:rPr>
    </w:lvl>
    <w:lvl w:ilvl="5">
      <w:start w:val="1"/>
      <w:numFmt w:val="decimal"/>
      <w:lvlText w:val="%1.%2.%3.%4.%5.%6"/>
      <w:lvlJc w:val="left"/>
      <w:pPr>
        <w:ind w:left="454" w:hanging="454"/>
      </w:pPr>
      <w:rPr>
        <w:rFonts w:hint="eastAsia"/>
      </w:rPr>
    </w:lvl>
    <w:lvl w:ilvl="6">
      <w:start w:val="1"/>
      <w:numFmt w:val="decimal"/>
      <w:lvlText w:val="%1.%2.%3.%4.%5.%6.%7"/>
      <w:lvlJc w:val="left"/>
      <w:pPr>
        <w:ind w:left="454" w:hanging="454"/>
      </w:pPr>
      <w:rPr>
        <w:rFonts w:hint="eastAsia"/>
      </w:rPr>
    </w:lvl>
    <w:lvl w:ilvl="7">
      <w:start w:val="1"/>
      <w:numFmt w:val="decimal"/>
      <w:lvlText w:val="%1.%2.%3.%4.%5.%6.%7.%8"/>
      <w:lvlJc w:val="left"/>
      <w:pPr>
        <w:ind w:left="454" w:hanging="454"/>
      </w:pPr>
      <w:rPr>
        <w:rFonts w:hint="eastAsia"/>
      </w:rPr>
    </w:lvl>
    <w:lvl w:ilvl="8">
      <w:start w:val="1"/>
      <w:numFmt w:val="decimal"/>
      <w:lvlText w:val="%1.%2.%3.%4.%5.%6.%7.%8.%9"/>
      <w:lvlJc w:val="left"/>
      <w:pPr>
        <w:ind w:left="454" w:hanging="45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CFB"/>
    <w:rsid w:val="001B4F11"/>
    <w:rsid w:val="001C6A0A"/>
    <w:rsid w:val="002E2335"/>
    <w:rsid w:val="00620CFB"/>
    <w:rsid w:val="007C682E"/>
    <w:rsid w:val="00AE2BFB"/>
    <w:rsid w:val="00C60F01"/>
    <w:rsid w:val="00D245CE"/>
    <w:rsid w:val="00EC1CCB"/>
    <w:rsid w:val="00FC4A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8B57BF0"/>
  <w15:chartTrackingRefBased/>
  <w15:docId w15:val="{0D3D43A3-CF5E-41C8-9CDA-0489F4A8F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60F01"/>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7C682E"/>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C6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7C682E"/>
    <w:pPr>
      <w:tabs>
        <w:tab w:val="center" w:pos="4252"/>
        <w:tab w:val="right" w:pos="8504"/>
      </w:tabs>
      <w:snapToGrid w:val="0"/>
    </w:pPr>
  </w:style>
  <w:style w:type="character" w:customStyle="1" w:styleId="a5">
    <w:name w:val="フッター (文字)"/>
    <w:basedOn w:val="a0"/>
    <w:link w:val="a4"/>
    <w:uiPriority w:val="99"/>
    <w:rsid w:val="007C682E"/>
  </w:style>
  <w:style w:type="character" w:customStyle="1" w:styleId="10">
    <w:name w:val="見出し 1 (文字)"/>
    <w:basedOn w:val="a0"/>
    <w:link w:val="1"/>
    <w:uiPriority w:val="9"/>
    <w:rsid w:val="00C60F01"/>
    <w:rPr>
      <w:rFonts w:asciiTheme="majorHAnsi" w:eastAsiaTheme="majorEastAsia" w:hAnsiTheme="majorHAnsi" w:cstheme="majorBidi"/>
      <w:sz w:val="24"/>
      <w:szCs w:val="24"/>
    </w:rPr>
  </w:style>
  <w:style w:type="paragraph" w:styleId="a6">
    <w:name w:val="List Paragraph"/>
    <w:basedOn w:val="a"/>
    <w:uiPriority w:val="34"/>
    <w:qFormat/>
    <w:rsid w:val="007C682E"/>
    <w:pPr>
      <w:ind w:leftChars="400" w:left="840"/>
    </w:pPr>
  </w:style>
  <w:style w:type="character" w:customStyle="1" w:styleId="20">
    <w:name w:val="見出し 2 (文字)"/>
    <w:basedOn w:val="a0"/>
    <w:link w:val="2"/>
    <w:uiPriority w:val="9"/>
    <w:rsid w:val="007C682E"/>
    <w:rPr>
      <w:rFonts w:asciiTheme="majorHAnsi" w:eastAsiaTheme="majorEastAsia" w:hAnsiTheme="majorHAnsi" w:cstheme="majorBidi"/>
    </w:rPr>
  </w:style>
  <w:style w:type="paragraph" w:styleId="a7">
    <w:name w:val="header"/>
    <w:basedOn w:val="a"/>
    <w:link w:val="a8"/>
    <w:uiPriority w:val="99"/>
    <w:unhideWhenUsed/>
    <w:rsid w:val="00AE2BFB"/>
    <w:pPr>
      <w:tabs>
        <w:tab w:val="center" w:pos="4252"/>
        <w:tab w:val="right" w:pos="8504"/>
      </w:tabs>
      <w:snapToGrid w:val="0"/>
    </w:pPr>
  </w:style>
  <w:style w:type="character" w:customStyle="1" w:styleId="a8">
    <w:name w:val="ヘッダー (文字)"/>
    <w:basedOn w:val="a0"/>
    <w:link w:val="a7"/>
    <w:uiPriority w:val="99"/>
    <w:rsid w:val="00AE2B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207</Words>
  <Characters>1182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2019-08-29T04:33:00Z</dcterms:created>
  <dcterms:modified xsi:type="dcterms:W3CDTF">2019-11-12T02:36:00Z</dcterms:modified>
</cp:coreProperties>
</file>