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F001E9" w:rsidRDefault="00F001E9"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F001E9" w:rsidRDefault="00470411" w:rsidP="00F001E9">
      <w:pPr>
        <w:pStyle w:val="1"/>
      </w:pPr>
      <w:r w:rsidRPr="00F001E9">
        <w:rPr>
          <w:rFonts w:hint="eastAsia"/>
        </w:rPr>
        <w:t>はじめに</w:t>
      </w:r>
    </w:p>
    <w:p w:rsidR="00470411" w:rsidRDefault="007D6AE7" w:rsidP="00470411">
      <w:r>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w:t>
      </w:r>
      <w:r w:rsidR="00946F47">
        <w:rPr>
          <w:rFonts w:hint="eastAsia"/>
        </w:rPr>
        <w:t>EU</w:t>
      </w:r>
      <w:r w:rsidR="00470411">
        <w:t>の経済通貨同盟で使われている通貨単位で、現在加盟国28か国のうち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F001E9">
      <w:pPr>
        <w:pStyle w:val="1"/>
      </w:pPr>
      <w:r w:rsidRPr="00B94615">
        <w:rPr>
          <w:rFonts w:hint="eastAsia"/>
        </w:rPr>
        <w:t>ユーロ導入の経緯</w:t>
      </w:r>
    </w:p>
    <w:p w:rsidR="00470411" w:rsidRPr="00B94615" w:rsidRDefault="00470411" w:rsidP="00F001E9">
      <w:pPr>
        <w:pStyle w:val="2"/>
      </w:pPr>
      <w:r w:rsidRPr="00B94615">
        <w:t>1957年　欧州経済共同体の創設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、欧州原子力共同体をまとめて欧州共同体という。</w:t>
      </w:r>
    </w:p>
    <w:p w:rsidR="00470411" w:rsidRDefault="00470411" w:rsidP="00470411"/>
    <w:p w:rsidR="00470411" w:rsidRPr="00B94615" w:rsidRDefault="00470411" w:rsidP="00F001E9">
      <w:pPr>
        <w:pStyle w:val="2"/>
      </w:pPr>
      <w:r w:rsidRPr="00B94615">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470411" w:rsidRDefault="00470411" w:rsidP="00470411"/>
    <w:p w:rsidR="00470411" w:rsidRPr="00B94615" w:rsidRDefault="00470411" w:rsidP="00F001E9">
      <w:pPr>
        <w:pStyle w:val="2"/>
      </w:pPr>
      <w:r w:rsidRPr="00B94615">
        <w:t>1979年　欧州通貨制度の創設</w:t>
      </w:r>
    </w:p>
    <w:p w:rsidR="00470411" w:rsidRDefault="00470411" w:rsidP="00470411">
      <w:r>
        <w:rPr>
          <w:rFonts w:hint="eastAsia"/>
        </w:rPr>
        <w:t xml:space="preserve">　ヨーロッパ各国で不況とインフレが併存する状態となり、ドイツとフランスを中心</w:t>
      </w:r>
      <w:r w:rsidR="001555E4">
        <w:rPr>
          <w:rFonts w:hint="eastAsia"/>
        </w:rPr>
        <w:t>とし</w:t>
      </w:r>
      <w:r w:rsidR="001555E4">
        <w:rPr>
          <w:rFonts w:hint="eastAsia"/>
        </w:rPr>
        <w:lastRenderedPageBreak/>
        <w:t>て</w:t>
      </w:r>
      <w:r>
        <w:rPr>
          <w:rFonts w:hint="eastAsia"/>
        </w:rPr>
        <w:t>為替相場の安定化・安定的な通貨圏の創設を目的に、欧州通貨制度が創設された。米ドルに代わり、ユーロの原型となる欧州通貨単位</w:t>
      </w:r>
      <w:r>
        <w:t>が導入されることになった。</w:t>
      </w:r>
    </w:p>
    <w:p w:rsidR="00470411" w:rsidRDefault="00470411" w:rsidP="00470411"/>
    <w:p w:rsidR="00470411" w:rsidRPr="00B94615" w:rsidRDefault="00470411" w:rsidP="00F001E9">
      <w:pPr>
        <w:pStyle w:val="2"/>
      </w:pPr>
      <w:r w:rsidRPr="00B94615">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AD30AB" w:rsidRDefault="00470411" w:rsidP="00AD30AB"/>
    <w:p w:rsidR="00470411" w:rsidRPr="00B94615" w:rsidRDefault="00470411" w:rsidP="00F001E9">
      <w:pPr>
        <w:pStyle w:val="2"/>
      </w:pPr>
      <w:r w:rsidRPr="00B94615">
        <w:t>1992年　欧州連合の創設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AD30AB" w:rsidRDefault="00351871" w:rsidP="00AD30AB"/>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lastRenderedPageBreak/>
        <w:t>また、マーストリヒト条約では、第</w:t>
      </w:r>
      <w:r>
        <w:t>3段階への移行として、各国が一定の経済的基準に到達していることを条件としている。</w:t>
      </w:r>
    </w:p>
    <w:p w:rsidR="00470411" w:rsidRDefault="00470411" w:rsidP="00470411"/>
    <w:p w:rsidR="00470411" w:rsidRPr="00F001E9" w:rsidRDefault="00470411" w:rsidP="00F001E9">
      <w:pPr>
        <w:pStyle w:val="2"/>
      </w:pPr>
      <w:r w:rsidRPr="00F001E9">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F001E9">
      <w:pPr>
        <w:pStyle w:val="1"/>
      </w:pPr>
      <w:r w:rsidRPr="00B94615">
        <w:rPr>
          <w:rFonts w:hint="eastAsia"/>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7C11AB" w:rsidRDefault="007C11AB" w:rsidP="00470411">
      <w:pPr>
        <w:rPr>
          <w:rFonts w:hint="eastAsia"/>
        </w:rPr>
      </w:pPr>
      <w:r>
        <w:rPr>
          <w:rFonts w:hint="eastAsia"/>
        </w:rPr>
        <w:t>2015年時点におけるユーロ未導入国は、イギリス・クロアチア・スウェーデン・チェコ・デンマーク・</w:t>
      </w:r>
      <w:bookmarkStart w:id="0" w:name="_GoBack"/>
      <w:bookmarkEnd w:id="0"/>
      <w:r>
        <w:rPr>
          <w:rFonts w:hint="eastAsia"/>
        </w:rPr>
        <w:t>ハンガリー・ブルガリア・ポーランド・ルーマニアの9か国である。</w:t>
      </w:r>
    </w:p>
    <w:p w:rsidR="00470411" w:rsidRPr="00B94615" w:rsidRDefault="00470411" w:rsidP="00F001E9">
      <w:pPr>
        <w:pStyle w:val="1"/>
      </w:pPr>
      <w:r w:rsidRPr="00B94615">
        <w:rPr>
          <w:rFonts w:hint="eastAsia"/>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w:t>
      </w:r>
      <w:r w:rsidR="001555E4">
        <w:rPr>
          <w:rFonts w:hint="eastAsia"/>
        </w:rPr>
        <w:t>た</w:t>
      </w:r>
      <w:r>
        <w:t>。</w:t>
      </w:r>
    </w:p>
    <w:p w:rsidR="00470411" w:rsidRDefault="00470411" w:rsidP="00470411">
      <w:r>
        <w:rPr>
          <w:rFonts w:hint="eastAsia"/>
        </w:rPr>
        <w:lastRenderedPageBreak/>
        <w:t xml:space="preserve">　ユーロが導入されてから現在までの為替レートの変動は、次の図の示すとおりである。</w:t>
      </w:r>
    </w:p>
    <w:p w:rsidR="00351871" w:rsidRDefault="00F01850" w:rsidP="00414DAF">
      <w:r w:rsidRPr="00414DAF">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headerReference w:type="default" r:id="rId20"/>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215" w:rsidRDefault="00570215" w:rsidP="001910C0">
      <w:r>
        <w:separator/>
      </w:r>
    </w:p>
  </w:endnote>
  <w:endnote w:type="continuationSeparator" w:id="0">
    <w:p w:rsidR="00570215" w:rsidRDefault="00570215"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215" w:rsidRDefault="00570215" w:rsidP="001910C0">
      <w:r>
        <w:separator/>
      </w:r>
    </w:p>
  </w:footnote>
  <w:footnote w:type="continuationSeparator" w:id="0">
    <w:p w:rsidR="00570215" w:rsidRDefault="00570215" w:rsidP="00191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758" w:rsidRDefault="00825758" w:rsidP="00825758">
    <w:pPr>
      <w:pStyle w:val="a4"/>
      <w:jc w:val="right"/>
    </w:pPr>
    <w:r>
      <w:rPr>
        <w:rFonts w:hint="eastAsia"/>
      </w:rPr>
      <w:t>2015年10月20日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097E60A6"/>
    <w:lvl w:ilvl="0" w:tplc="4EC40308">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D23A7806"/>
    <w:lvl w:ilvl="0" w:tplc="F93C3984">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1555E4"/>
    <w:rsid w:val="001910C0"/>
    <w:rsid w:val="00294039"/>
    <w:rsid w:val="002D182F"/>
    <w:rsid w:val="0033040C"/>
    <w:rsid w:val="00351871"/>
    <w:rsid w:val="00401974"/>
    <w:rsid w:val="00414DAF"/>
    <w:rsid w:val="00470411"/>
    <w:rsid w:val="00481222"/>
    <w:rsid w:val="00505298"/>
    <w:rsid w:val="0056712C"/>
    <w:rsid w:val="00570215"/>
    <w:rsid w:val="00580599"/>
    <w:rsid w:val="0059486B"/>
    <w:rsid w:val="0061091C"/>
    <w:rsid w:val="006534C3"/>
    <w:rsid w:val="006600D7"/>
    <w:rsid w:val="00694A77"/>
    <w:rsid w:val="006A210A"/>
    <w:rsid w:val="006E7255"/>
    <w:rsid w:val="00785E3E"/>
    <w:rsid w:val="007C11AB"/>
    <w:rsid w:val="007D6AE7"/>
    <w:rsid w:val="00825758"/>
    <w:rsid w:val="008A085F"/>
    <w:rsid w:val="00946F47"/>
    <w:rsid w:val="00963757"/>
    <w:rsid w:val="00A37341"/>
    <w:rsid w:val="00AD30AB"/>
    <w:rsid w:val="00B250CC"/>
    <w:rsid w:val="00B94615"/>
    <w:rsid w:val="00C123B7"/>
    <w:rsid w:val="00CA3498"/>
    <w:rsid w:val="00D2214C"/>
    <w:rsid w:val="00D56306"/>
    <w:rsid w:val="00DB7ECC"/>
    <w:rsid w:val="00E335FA"/>
    <w:rsid w:val="00EE260A"/>
    <w:rsid w:val="00F001E9"/>
    <w:rsid w:val="00F01850"/>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4ECD95"/>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F001E9"/>
    <w:pPr>
      <w:numPr>
        <w:numId w:val="1"/>
      </w:numPr>
      <w:ind w:leftChars="0" w:left="0"/>
      <w:outlineLvl w:val="0"/>
    </w:pPr>
    <w:rPr>
      <w:sz w:val="24"/>
      <w:szCs w:val="24"/>
    </w:rPr>
  </w:style>
  <w:style w:type="paragraph" w:styleId="2">
    <w:name w:val="heading 2"/>
    <w:basedOn w:val="a0"/>
    <w:next w:val="a"/>
    <w:link w:val="20"/>
    <w:uiPriority w:val="9"/>
    <w:unhideWhenUsed/>
    <w:qFormat/>
    <w:rsid w:val="00F001E9"/>
    <w:pPr>
      <w:numPr>
        <w:numId w:val="3"/>
      </w:numPr>
      <w:ind w:leftChars="0" w:left="0"/>
      <w:outlineLvl w:val="1"/>
    </w:pPr>
    <w:rPr>
      <w:color w:val="4472C4" w:themeColor="accent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1"/>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1"/>
    <w:link w:val="a6"/>
    <w:uiPriority w:val="99"/>
    <w:rsid w:val="001910C0"/>
  </w:style>
  <w:style w:type="table" w:styleId="a8">
    <w:name w:val="Table Grid"/>
    <w:basedOn w:val="a2"/>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D6AE7"/>
    <w:rPr>
      <w:rFonts w:asciiTheme="majorHAnsi" w:eastAsiaTheme="majorEastAsia" w:hAnsiTheme="majorHAnsi" w:cstheme="majorBidi"/>
      <w:sz w:val="18"/>
      <w:szCs w:val="18"/>
    </w:rPr>
  </w:style>
  <w:style w:type="paragraph" w:styleId="ac">
    <w:name w:val="footnote text"/>
    <w:basedOn w:val="a"/>
    <w:link w:val="ad"/>
    <w:uiPriority w:val="99"/>
    <w:semiHidden/>
    <w:unhideWhenUsed/>
    <w:rsid w:val="0061091C"/>
    <w:pPr>
      <w:snapToGrid w:val="0"/>
      <w:jc w:val="left"/>
    </w:pPr>
  </w:style>
  <w:style w:type="character" w:customStyle="1" w:styleId="ad">
    <w:name w:val="脚注文字列 (文字)"/>
    <w:basedOn w:val="a1"/>
    <w:link w:val="ac"/>
    <w:uiPriority w:val="99"/>
    <w:semiHidden/>
    <w:rsid w:val="0061091C"/>
  </w:style>
  <w:style w:type="character" w:styleId="ae">
    <w:name w:val="footnote reference"/>
    <w:basedOn w:val="a1"/>
    <w:uiPriority w:val="99"/>
    <w:semiHidden/>
    <w:unhideWhenUsed/>
    <w:rsid w:val="0061091C"/>
    <w:rPr>
      <w:vertAlign w:val="superscript"/>
    </w:rPr>
  </w:style>
  <w:style w:type="character" w:customStyle="1" w:styleId="10">
    <w:name w:val="見出し 1 (文字)"/>
    <w:basedOn w:val="a1"/>
    <w:link w:val="1"/>
    <w:uiPriority w:val="9"/>
    <w:rsid w:val="00F001E9"/>
    <w:rPr>
      <w:sz w:val="24"/>
      <w:szCs w:val="24"/>
    </w:rPr>
  </w:style>
  <w:style w:type="character" w:customStyle="1" w:styleId="20">
    <w:name w:val="見出し 2 (文字)"/>
    <w:basedOn w:val="a1"/>
    <w:link w:val="2"/>
    <w:uiPriority w:val="9"/>
    <w:rsid w:val="00F001E9"/>
    <w:rPr>
      <w:color w:val="4472C4" w:themeColor="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pt>
    <dgm:pt modelId="{26E78434-0B19-4CB1-BC33-80717C2DA9DD}" type="pres">
      <dgm:prSet presAssocID="{82BD598E-619E-4FF1-8741-47C8240EB17E}" presName="roof" presStyleLbl="dkBgShp" presStyleIdx="0" presStyleCnt="2"/>
      <dgm:spPr/>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pt>
    <dgm:pt modelId="{57EC5207-AA8B-4137-9E82-4B7FD587DD2A}" type="pres">
      <dgm:prSet presAssocID="{2B82288A-6613-4D5C-A31C-EDDC36142298}" presName="pillarX" presStyleLbl="node1" presStyleIdx="1" presStyleCnt="3">
        <dgm:presLayoutVars>
          <dgm:bulletEnabled val="1"/>
        </dgm:presLayoutVars>
      </dgm:prSet>
      <dgm:spPr/>
    </dgm:pt>
    <dgm:pt modelId="{1D54A5CE-3F30-46B8-99F0-2093B8D19362}" type="pres">
      <dgm:prSet presAssocID="{EF643390-45D9-41B7-A170-A9493D3F57D7}" presName="pillarX" presStyleLbl="node1" presStyleIdx="2" presStyleCnt="3">
        <dgm:presLayoutVars>
          <dgm:bulletEnabled val="1"/>
        </dgm:presLayoutVars>
      </dgm:prSet>
      <dgm:spPr/>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66EE8-E8D0-46F9-940E-C8E66B680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305</Words>
  <Characters>1742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2016-04-01T04:14:00Z</cp:lastPrinted>
  <dcterms:created xsi:type="dcterms:W3CDTF">2017-01-06T02:06:00Z</dcterms:created>
  <dcterms:modified xsi:type="dcterms:W3CDTF">2017-01-06T02:22:00Z</dcterms:modified>
</cp:coreProperties>
</file>