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BFD" w:rsidRPr="00D37599" w:rsidRDefault="007B4BFD" w:rsidP="00E1485E">
      <w:pPr>
        <w:pStyle w:val="1"/>
      </w:pPr>
      <w:bookmarkStart w:id="0" w:name="_GoBack"/>
      <w:bookmarkEnd w:id="0"/>
      <w:r w:rsidRPr="00D37599">
        <w:rPr>
          <w:rFonts w:hint="eastAsia"/>
        </w:rPr>
        <w:t>領収書を知る</w:t>
      </w:r>
    </w:p>
    <w:p w:rsidR="007B4BFD" w:rsidRPr="00D37599" w:rsidRDefault="007B4BFD" w:rsidP="00D37599">
      <w:pPr>
        <w:pStyle w:val="2"/>
      </w:pPr>
      <w:r w:rsidRPr="00D37599">
        <w:rPr>
          <w:rFonts w:hint="eastAsia"/>
        </w:rPr>
        <w:t>どんな領収書をもらっているか？</w:t>
      </w:r>
    </w:p>
    <w:p w:rsidR="007B4BFD" w:rsidRDefault="007B4BFD" w:rsidP="007B4BFD">
      <w:r>
        <w:rPr>
          <w:rFonts w:hint="eastAsia"/>
        </w:rPr>
        <w:t>私たちが買い物をしたとき、多くの場合領収書やレシートをもらっていますが、これはお金を支払ったことに対する証明になるものです。最近では、スーパーのレシートにもひとつひとつの品名が記載されていて、後から何がいくらだったかを知ることができます。病院等にかかったときも、受けた治療に対して代金を支払っているわけですから、領収書（レシート）をもらうのは当然といえるでしょう。</w:t>
      </w:r>
    </w:p>
    <w:p w:rsidR="007B4BFD" w:rsidRDefault="007B4BFD" w:rsidP="00D37599">
      <w:pPr>
        <w:pStyle w:val="2"/>
      </w:pPr>
      <w:r>
        <w:rPr>
          <w:rFonts w:hint="eastAsia"/>
        </w:rPr>
        <w:t>医療費の内訳を知るには</w:t>
      </w:r>
    </w:p>
    <w:p w:rsidR="007B4BFD" w:rsidRDefault="007B4BFD" w:rsidP="007B4BFD">
      <w:r>
        <w:rPr>
          <w:rFonts w:hint="eastAsia"/>
        </w:rPr>
        <w:t>ご存知のとおり、私たちは病院等で治療を受けたとき、健康保険組合に加入しているため、窓口では</w:t>
      </w:r>
      <w:r>
        <w:rPr>
          <w:rFonts w:hint="eastAsia"/>
        </w:rPr>
        <w:t>3</w:t>
      </w:r>
      <w:r>
        <w:rPr>
          <w:rFonts w:hint="eastAsia"/>
        </w:rPr>
        <w:t>割だけを支払っています。</w:t>
      </w:r>
    </w:p>
    <w:p w:rsidR="007B4BFD" w:rsidRDefault="007B4BFD" w:rsidP="007B4BFD">
      <w:r>
        <w:rPr>
          <w:rFonts w:hint="eastAsia"/>
        </w:rPr>
        <w:t>そこでは、実際にかかった医療費の総額がわかる領収書をもらいます。領収書には診察料や投薬料などは記載されているためおおよその見当がつくにしろ、どんな治療内容で何にいくらかかったかということまではわかりません。これらの治療内容の詳細を知りたい場合、病院から健康保険組合に出される「レセプト（診療報酬明細書）」を確認する必要があります。</w:t>
      </w:r>
    </w:p>
    <w:p w:rsidR="007B4BFD" w:rsidRDefault="007B4BFD" w:rsidP="007B4BFD">
      <w:r>
        <w:rPr>
          <w:rFonts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rsidR="00D37599" w:rsidRDefault="00D37599" w:rsidP="00D37599">
      <w:pPr>
        <w:pStyle w:val="2"/>
      </w:pPr>
      <w:r>
        <w:rPr>
          <w:rFonts w:hint="eastAsia"/>
        </w:rPr>
        <w:t>領収書からわかるもの</w:t>
      </w:r>
    </w:p>
    <w:p w:rsidR="00D37599" w:rsidRDefault="00D37599" w:rsidP="00D37599">
      <w:r>
        <w:rPr>
          <w:rFonts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rsidR="00D37599" w:rsidRDefault="00D37599" w:rsidP="00D37599">
      <w:r>
        <w:rPr>
          <w:rFonts w:hint="eastAsia"/>
        </w:rPr>
        <w:t>「適正な医療に適正な医療費」が叫ばれる中、私たちも医療に対するコスト意識をもたなければなりません。病院の領収書やレセプトが大きな役割を果たすとともに、医療について、その病院について知る貴重な情報源であるともいえるでしょう。</w:t>
      </w:r>
    </w:p>
    <w:p w:rsidR="0045296D" w:rsidRDefault="0045296D">
      <w:pPr>
        <w:rPr>
          <w:rFonts w:asciiTheme="majorHAnsi" w:eastAsiaTheme="majorEastAsia" w:hAnsiTheme="majorHAnsi" w:cstheme="majorBidi"/>
          <w:color w:val="2E74B5" w:themeColor="accent1" w:themeShade="BF"/>
          <w:sz w:val="36"/>
        </w:rPr>
      </w:pPr>
      <w:r>
        <w:br w:type="page"/>
      </w:r>
    </w:p>
    <w:p w:rsidR="007B4BFD" w:rsidRDefault="007B4BFD" w:rsidP="00D37599">
      <w:pPr>
        <w:pStyle w:val="1"/>
      </w:pPr>
      <w:r>
        <w:rPr>
          <w:rFonts w:hint="eastAsia"/>
        </w:rPr>
        <w:lastRenderedPageBreak/>
        <w:t>領収書を活用する</w:t>
      </w:r>
    </w:p>
    <w:p w:rsidR="007B4BFD" w:rsidRDefault="007B4BFD" w:rsidP="00D37599">
      <w:pPr>
        <w:pStyle w:val="2"/>
      </w:pPr>
      <w:r>
        <w:rPr>
          <w:rFonts w:hint="eastAsia"/>
        </w:rPr>
        <w:t>医療費控除とは</w:t>
      </w:r>
    </w:p>
    <w:p w:rsidR="007B4BFD" w:rsidRDefault="007B4BFD" w:rsidP="007B4BFD">
      <w:r>
        <w:rPr>
          <w:rFonts w:hint="eastAsia"/>
        </w:rPr>
        <w:t>医療費の自己負担が年間</w:t>
      </w:r>
      <w:r>
        <w:rPr>
          <w:rFonts w:hint="eastAsia"/>
        </w:rPr>
        <w:t>10</w:t>
      </w:r>
      <w:r>
        <w:rPr>
          <w:rFonts w:hint="eastAsia"/>
        </w:rPr>
        <w:t>万円を超えると税金が戻ってきます。この制度を「医療費控除」といいます。その年の</w:t>
      </w:r>
      <w:r>
        <w:rPr>
          <w:rFonts w:hint="eastAsia"/>
        </w:rPr>
        <w:t>1</w:t>
      </w:r>
      <w:r>
        <w:rPr>
          <w:rFonts w:hint="eastAsia"/>
        </w:rPr>
        <w:t>月</w:t>
      </w:r>
      <w:r>
        <w:rPr>
          <w:rFonts w:hint="eastAsia"/>
        </w:rPr>
        <w:t>1</w:t>
      </w:r>
      <w:r>
        <w:rPr>
          <w:rFonts w:hint="eastAsia"/>
        </w:rPr>
        <w:t>日から</w:t>
      </w:r>
      <w:r>
        <w:rPr>
          <w:rFonts w:hint="eastAsia"/>
        </w:rPr>
        <w:t>12</w:t>
      </w:r>
      <w:r>
        <w:rPr>
          <w:rFonts w:hint="eastAsia"/>
        </w:rPr>
        <w:t>月</w:t>
      </w:r>
      <w:r>
        <w:rPr>
          <w:rFonts w:hint="eastAsia"/>
        </w:rPr>
        <w:t>31</w:t>
      </w:r>
      <w:r>
        <w:rPr>
          <w:rFonts w:hint="eastAsia"/>
        </w:rPr>
        <w:t>日までの間で家計を共にする家族の医療費の合計が</w:t>
      </w:r>
      <w:r>
        <w:rPr>
          <w:rFonts w:hint="eastAsia"/>
        </w:rPr>
        <w:t>10</w:t>
      </w:r>
      <w:r>
        <w:rPr>
          <w:rFonts w:hint="eastAsia"/>
        </w:rPr>
        <w:t>万円を超えた場合は、申告すると、超えた額が所得額から控除され、控除分に見合う税金が戻ってきます。</w:t>
      </w:r>
    </w:p>
    <w:p w:rsidR="007B4BFD" w:rsidRPr="00CF412D" w:rsidRDefault="007B4BFD" w:rsidP="00CF412D">
      <w:pPr>
        <w:pStyle w:val="3"/>
      </w:pPr>
      <w:r w:rsidRPr="00CF412D">
        <w:rPr>
          <w:rFonts w:hint="eastAsia"/>
        </w:rPr>
        <w:t>医療費控除額の算出方法</w:t>
      </w:r>
    </w:p>
    <w:p w:rsidR="007B4BFD" w:rsidRDefault="007B4BFD" w:rsidP="007B4BFD">
      <w:r>
        <w:rPr>
          <w:rFonts w:hint="eastAsia"/>
        </w:rPr>
        <w:t>医療費控除の対象となる金額は、次の式で計算した金額で計算し、最高</w:t>
      </w:r>
      <w:r>
        <w:rPr>
          <w:rFonts w:hint="eastAsia"/>
        </w:rPr>
        <w:t>200</w:t>
      </w:r>
      <w:r>
        <w:rPr>
          <w:rFonts w:hint="eastAsia"/>
        </w:rPr>
        <w:t>万円まで還付されます。（平成</w:t>
      </w:r>
      <w:r>
        <w:rPr>
          <w:rFonts w:hint="eastAsia"/>
        </w:rPr>
        <w:t>2</w:t>
      </w:r>
      <w:r w:rsidR="008C0DE6">
        <w:rPr>
          <w:rFonts w:hint="eastAsia"/>
        </w:rPr>
        <w:t>5</w:t>
      </w:r>
      <w:r>
        <w:rPr>
          <w:rFonts w:hint="eastAsia"/>
        </w:rPr>
        <w:t>年</w:t>
      </w:r>
      <w:r w:rsidR="008C0DE6">
        <w:rPr>
          <w:rFonts w:hint="eastAsia"/>
        </w:rPr>
        <w:t>2</w:t>
      </w:r>
      <w:r>
        <w:rPr>
          <w:rFonts w:hint="eastAsia"/>
        </w:rPr>
        <w:t>月現在）</w:t>
      </w:r>
    </w:p>
    <w:p w:rsidR="007B4BFD" w:rsidRDefault="007B4BFD" w:rsidP="007B4BFD">
      <w:r>
        <w:rPr>
          <w:rFonts w:hint="eastAsia"/>
        </w:rPr>
        <w:t>ただし、</w:t>
      </w:r>
      <w:r>
        <w:rPr>
          <w:rFonts w:hint="eastAsia"/>
        </w:rPr>
        <w:t>1</w:t>
      </w:r>
      <w:r>
        <w:rPr>
          <w:rFonts w:hint="eastAsia"/>
        </w:rPr>
        <w:t>年間に支払った医療費の合計から、生命保険や損害保険からの入院給付金、健康保険などからの高額療養費、出産育児一時金などの金額は差し引かなければなりません。</w:t>
      </w:r>
    </w:p>
    <w:p w:rsidR="007B4BFD" w:rsidRDefault="007B4BFD" w:rsidP="007B4BFD">
      <w:r w:rsidRPr="00DA5880">
        <w:rPr>
          <w:rFonts w:hint="eastAsia"/>
          <w:noProof/>
        </w:rPr>
        <w:drawing>
          <wp:inline distT="0" distB="0" distL="0" distR="0" wp14:anchorId="315DD3E9" wp14:editId="77976B55">
            <wp:extent cx="6076950" cy="1590675"/>
            <wp:effectExtent l="38100" t="0" r="38100" b="0"/>
            <wp:docPr id="8" name="図表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B4BFD" w:rsidRDefault="007B4BFD" w:rsidP="00CF412D">
      <w:pPr>
        <w:pStyle w:val="3"/>
      </w:pPr>
      <w:r>
        <w:rPr>
          <w:rFonts w:hint="eastAsia"/>
        </w:rPr>
        <w:t>申告方法</w:t>
      </w:r>
    </w:p>
    <w:p w:rsidR="007B4BFD" w:rsidRDefault="007B4BFD" w:rsidP="007B4BFD">
      <w:r>
        <w:rPr>
          <w:rFonts w:hint="eastAsia"/>
        </w:rPr>
        <w:t>医療費控除に関する事項を記載した確定申告書を所轄税務署長に提出します。申告用紙はインターネットからダウンロードすることもできます。インターネットに接続できない場合は、郵送してもらうこともできるので、最寄りの税務署に聞いてみましょう。申告する際には、「病院等の領収書（レシート）」「源泉徴収票（原本）」「印鑑」を用意します。</w:t>
      </w:r>
    </w:p>
    <w:p w:rsidR="007B4BFD" w:rsidRDefault="007B4BFD" w:rsidP="00CF412D">
      <w:pPr>
        <w:pStyle w:val="3"/>
      </w:pPr>
      <w:r>
        <w:rPr>
          <w:rFonts w:hint="eastAsia"/>
        </w:rPr>
        <w:t>申告の時期</w:t>
      </w:r>
    </w:p>
    <w:p w:rsidR="007B4BFD" w:rsidRDefault="007B4BFD" w:rsidP="007B4BFD">
      <w:r>
        <w:rPr>
          <w:rFonts w:hint="eastAsia"/>
        </w:rPr>
        <w:t>毎年</w:t>
      </w:r>
      <w:r>
        <w:rPr>
          <w:rFonts w:hint="eastAsia"/>
        </w:rPr>
        <w:t>2</w:t>
      </w:r>
      <w:r>
        <w:rPr>
          <w:rFonts w:hint="eastAsia"/>
        </w:rPr>
        <w:t>月</w:t>
      </w:r>
      <w:r>
        <w:rPr>
          <w:rFonts w:hint="eastAsia"/>
        </w:rPr>
        <w:t>16</w:t>
      </w:r>
      <w:r>
        <w:rPr>
          <w:rFonts w:hint="eastAsia"/>
        </w:rPr>
        <w:t>日～</w:t>
      </w:r>
      <w:r>
        <w:rPr>
          <w:rFonts w:hint="eastAsia"/>
        </w:rPr>
        <w:t>3</w:t>
      </w:r>
      <w:r>
        <w:rPr>
          <w:rFonts w:hint="eastAsia"/>
        </w:rPr>
        <w:t>月</w:t>
      </w:r>
      <w:r>
        <w:rPr>
          <w:rFonts w:hint="eastAsia"/>
        </w:rPr>
        <w:t>15</w:t>
      </w:r>
      <w:r>
        <w:rPr>
          <w:rFonts w:hint="eastAsia"/>
        </w:rPr>
        <w:t>日の期間です。ただし、申告義務がない人で還付申告だけなら、確定申告期間の１ヶ月前ごろでも受け付けてもらえます。</w:t>
      </w:r>
    </w:p>
    <w:p w:rsidR="007B4BFD" w:rsidRDefault="007B4BFD" w:rsidP="007B4BFD">
      <w:r>
        <w:rPr>
          <w:rFonts w:hint="eastAsia"/>
        </w:rPr>
        <w:t>また、申告期限から過去</w:t>
      </w:r>
      <w:r>
        <w:rPr>
          <w:rFonts w:hint="eastAsia"/>
        </w:rPr>
        <w:t>5</w:t>
      </w:r>
      <w:r>
        <w:rPr>
          <w:rFonts w:hint="eastAsia"/>
        </w:rPr>
        <w:t>年分まで遡って申告できます。通常、還付金は、申告後</w:t>
      </w:r>
      <w:r>
        <w:rPr>
          <w:rFonts w:hint="eastAsia"/>
        </w:rPr>
        <w:t>1</w:t>
      </w:r>
      <w:r>
        <w:rPr>
          <w:rFonts w:hint="eastAsia"/>
        </w:rPr>
        <w:t>ヶ月程度で指定口座に振り込まれます。</w:t>
      </w:r>
    </w:p>
    <w:p w:rsidR="007B4BFD" w:rsidRDefault="007B4BFD" w:rsidP="00D37599">
      <w:pPr>
        <w:pStyle w:val="2"/>
      </w:pPr>
      <w:r>
        <w:rPr>
          <w:rFonts w:hint="eastAsia"/>
        </w:rPr>
        <w:t>医療費控除の対象</w:t>
      </w:r>
    </w:p>
    <w:p w:rsidR="007B4BFD" w:rsidRDefault="007B4BFD" w:rsidP="007B4BFD">
      <w:r>
        <w:rPr>
          <w:rFonts w:hint="eastAsia"/>
        </w:rPr>
        <w:t>医療費控除の対象になる支出は「治療のために必要なもの」であることが条件です。交通費など領収書がないものは、支出を記録しておきましょう。</w:t>
      </w:r>
    </w:p>
    <w:p w:rsidR="007B4BFD" w:rsidRDefault="007B4BFD" w:rsidP="00CF412D">
      <w:pPr>
        <w:pStyle w:val="3"/>
      </w:pPr>
      <w:r>
        <w:rPr>
          <w:rFonts w:hint="eastAsia"/>
        </w:rPr>
        <w:t>医療費控除の対象になるもの</w:t>
      </w:r>
    </w:p>
    <w:p w:rsidR="007B4BFD" w:rsidRDefault="007B4BFD" w:rsidP="007B4BFD">
      <w:r>
        <w:rPr>
          <w:rFonts w:hint="eastAsia"/>
        </w:rPr>
        <w:t>医療費控除の対象になるものは次のとおりです。</w:t>
      </w:r>
    </w:p>
    <w:tbl>
      <w:tblPr>
        <w:tblStyle w:val="31"/>
        <w:tblW w:w="9489" w:type="dxa"/>
        <w:tblInd w:w="400" w:type="dxa"/>
        <w:tblLook w:val="0200" w:firstRow="0" w:lastRow="0" w:firstColumn="0" w:lastColumn="0" w:noHBand="1" w:noVBand="0"/>
      </w:tblPr>
      <w:tblGrid>
        <w:gridCol w:w="2118"/>
        <w:gridCol w:w="7371"/>
      </w:tblGrid>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lastRenderedPageBreak/>
              <w:t>診療や治療の対価</w:t>
            </w:r>
          </w:p>
        </w:tc>
        <w:tc>
          <w:tcPr>
            <w:tcW w:w="7371" w:type="dxa"/>
          </w:tcPr>
          <w:p w:rsidR="007B4BFD"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治療費の自己負担分、薬代、入院時の食事代、助産婦費用</w:t>
            </w:r>
            <w:r>
              <w:rPr>
                <w:rFonts w:hint="eastAsia"/>
              </w:rPr>
              <w:t>、</w:t>
            </w:r>
          </w:p>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虫歯の治療費（保険外含む）</w:t>
            </w:r>
            <w:r>
              <w:rPr>
                <w:rFonts w:hint="eastAsia"/>
              </w:rPr>
              <w:t>、</w:t>
            </w:r>
            <w:r w:rsidRPr="009C20B7">
              <w:rPr>
                <w:rFonts w:hint="eastAsia"/>
              </w:rPr>
              <w:t>子どもの歯列矯正</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交通費</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通院のための交通費</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薬局での購入費</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医師の処方せんに基づいて購入した医薬品</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器具・材料</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医師の指示による血圧計、松葉杖、補聴器等の医療器具購入代など</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その他</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病気治療のためのマッサージ、鍼灸、柔道整復師の施術費</w:t>
            </w:r>
          </w:p>
        </w:tc>
      </w:tr>
    </w:tbl>
    <w:p w:rsidR="007B4BFD" w:rsidRDefault="007B4BFD" w:rsidP="00CF412D">
      <w:pPr>
        <w:pStyle w:val="3"/>
      </w:pPr>
      <w:r>
        <w:rPr>
          <w:rFonts w:hint="eastAsia"/>
        </w:rPr>
        <w:t>医療費控除の対象にならないもの</w:t>
      </w:r>
    </w:p>
    <w:p w:rsidR="007B4BFD" w:rsidRDefault="007B4BFD" w:rsidP="007B4BFD">
      <w:r>
        <w:rPr>
          <w:rFonts w:hint="eastAsia"/>
        </w:rPr>
        <w:t>医療費控除の対象にならないものは次のとおりです。</w:t>
      </w:r>
    </w:p>
    <w:tbl>
      <w:tblPr>
        <w:tblStyle w:val="31"/>
        <w:tblW w:w="9489" w:type="dxa"/>
        <w:tblInd w:w="400" w:type="dxa"/>
        <w:tblLook w:val="0200" w:firstRow="0" w:lastRow="0" w:firstColumn="0" w:lastColumn="0" w:noHBand="1" w:noVBand="0"/>
      </w:tblPr>
      <w:tblGrid>
        <w:gridCol w:w="2118"/>
        <w:gridCol w:w="7371"/>
      </w:tblGrid>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診療や治療の対価</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美容整形、人間ドッグ費用、</w:t>
            </w:r>
            <w:r>
              <w:rPr>
                <w:rFonts w:hint="eastAsia"/>
              </w:rPr>
              <w:t>検診、予防接種、</w:t>
            </w:r>
            <w:r w:rsidRPr="003E576A">
              <w:rPr>
                <w:rFonts w:hint="eastAsia"/>
              </w:rPr>
              <w:t>眼鏡・コンタクトレンズ購入</w:t>
            </w:r>
            <w:r>
              <w:rPr>
                <w:rFonts w:hint="eastAsia"/>
              </w:rPr>
              <w:t>時の</w:t>
            </w:r>
            <w:r w:rsidRPr="003E576A">
              <w:rPr>
                <w:rFonts w:hint="eastAsia"/>
              </w:rPr>
              <w:t>眼科受診料</w:t>
            </w:r>
            <w:r>
              <w:rPr>
                <w:rFonts w:hint="eastAsia"/>
              </w:rPr>
              <w:t>、</w:t>
            </w:r>
            <w:r w:rsidRPr="003E576A">
              <w:rPr>
                <w:rFonts w:hint="eastAsia"/>
              </w:rPr>
              <w:t>美容のための歯列矯正、歯石除去の費用</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交通費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自家用車のガソリン代、出産で実家に帰る際の交通費</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薬局での購入費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日常で使用するための眼鏡、コンタクトレンズ</w:t>
            </w:r>
            <w:r>
              <w:rPr>
                <w:rFonts w:hint="eastAsia"/>
              </w:rPr>
              <w:t>の購入</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器具・材料</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治療が目的でない保健薬、健康食品の購入費</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その他</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スポーツクラブの利用料</w:t>
            </w:r>
          </w:p>
        </w:tc>
      </w:tr>
    </w:tbl>
    <w:p w:rsidR="007B4BFD" w:rsidRDefault="007B4BFD" w:rsidP="00CF412D">
      <w:pPr>
        <w:pStyle w:val="3"/>
      </w:pPr>
      <w:r>
        <w:rPr>
          <w:rFonts w:hint="eastAsia"/>
        </w:rPr>
        <w:t>条件付きで対象になるもの</w:t>
      </w:r>
    </w:p>
    <w:p w:rsidR="007B4BFD" w:rsidRDefault="007B4BFD" w:rsidP="007B4BFD">
      <w:r>
        <w:rPr>
          <w:rFonts w:hint="eastAsia"/>
        </w:rPr>
        <w:t>条件付きで医療費控除の対象になるものは次のとおりです。</w:t>
      </w:r>
    </w:p>
    <w:tbl>
      <w:tblPr>
        <w:tblStyle w:val="31"/>
        <w:tblW w:w="9489" w:type="dxa"/>
        <w:tblInd w:w="400" w:type="dxa"/>
        <w:tblLook w:val="0200" w:firstRow="0" w:lastRow="0" w:firstColumn="0" w:lastColumn="0" w:noHBand="1" w:noVBand="0"/>
      </w:tblPr>
      <w:tblGrid>
        <w:gridCol w:w="2118"/>
        <w:gridCol w:w="7371"/>
      </w:tblGrid>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診療や治療の対価</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ベッド、特別室の費用（病状等によ</w:t>
            </w:r>
            <w:r>
              <w:rPr>
                <w:rFonts w:hint="eastAsia"/>
              </w:rPr>
              <w:t>る</w:t>
            </w:r>
            <w:r w:rsidRPr="003E576A">
              <w:rPr>
                <w:rFonts w:hint="eastAsia"/>
              </w:rPr>
              <w:t>）</w:t>
            </w:r>
            <w:r>
              <w:rPr>
                <w:rFonts w:hint="eastAsia"/>
              </w:rPr>
              <w:t>、</w:t>
            </w:r>
            <w:r w:rsidRPr="003E576A">
              <w:rPr>
                <w:rFonts w:hint="eastAsia"/>
              </w:rPr>
              <w:t>治療のために行う大人の歯列</w:t>
            </w:r>
            <w:r>
              <w:rPr>
                <w:rFonts w:hint="eastAsia"/>
              </w:rPr>
              <w:t>矯正</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交通費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タクシー代（電車・バスでの移動が困難な場合）</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薬局での購入費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医師の処方せんの</w:t>
            </w:r>
            <w:r>
              <w:rPr>
                <w:rFonts w:hint="eastAsia"/>
              </w:rPr>
              <w:t>な</w:t>
            </w:r>
            <w:r w:rsidRPr="003E576A">
              <w:rPr>
                <w:rFonts w:hint="eastAsia"/>
              </w:rPr>
              <w:t>い医薬品（極端に高価なものを除く）</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器具・材料</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高齢者の紙オムツ代</w:t>
            </w:r>
            <w:r>
              <w:rPr>
                <w:rFonts w:hint="eastAsia"/>
              </w:rPr>
              <w:t>、</w:t>
            </w:r>
            <w:r w:rsidRPr="003E576A">
              <w:rPr>
                <w:rFonts w:hint="eastAsia"/>
              </w:rPr>
              <w:t>松葉杖、車いす（通院治療のため必要な場合）</w:t>
            </w:r>
          </w:p>
        </w:tc>
      </w:tr>
      <w:tr w:rsidR="007B4BFD" w:rsidRPr="00C20034"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その他</w:t>
            </w:r>
          </w:p>
        </w:tc>
        <w:tc>
          <w:tcPr>
            <w:tcW w:w="7371" w:type="dxa"/>
          </w:tcPr>
          <w:p w:rsidR="007B4BFD" w:rsidRPr="00C20034"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クアハウスの利用で医師の証明がある場合</w:t>
            </w:r>
          </w:p>
        </w:tc>
      </w:tr>
    </w:tbl>
    <w:p w:rsidR="007B4BFD" w:rsidRDefault="007B4BFD" w:rsidP="007B4BFD"/>
    <w:p w:rsidR="00CF412D" w:rsidRDefault="00CF412D">
      <w:pPr>
        <w:rPr>
          <w:rFonts w:asciiTheme="majorHAnsi" w:eastAsiaTheme="majorEastAsia" w:hAnsiTheme="majorHAnsi" w:cstheme="majorBidi"/>
          <w:color w:val="2E74B5" w:themeColor="accent1" w:themeShade="BF"/>
          <w:sz w:val="36"/>
        </w:rPr>
      </w:pPr>
      <w:r>
        <w:br w:type="page"/>
      </w:r>
    </w:p>
    <w:p w:rsidR="007B4BFD" w:rsidRDefault="007B4BFD" w:rsidP="00D37599">
      <w:pPr>
        <w:pStyle w:val="1"/>
      </w:pPr>
      <w:r>
        <w:rPr>
          <w:rFonts w:hint="eastAsia"/>
        </w:rPr>
        <w:lastRenderedPageBreak/>
        <w:t>ムダをなくす</w:t>
      </w:r>
    </w:p>
    <w:p w:rsidR="007B4BFD" w:rsidRDefault="007B4BFD" w:rsidP="00D37599">
      <w:pPr>
        <w:pStyle w:val="2"/>
      </w:pPr>
      <w:r>
        <w:rPr>
          <w:rFonts w:hint="eastAsia"/>
        </w:rPr>
        <w:t>治療内容への理解</w:t>
      </w:r>
    </w:p>
    <w:p w:rsidR="007B4BFD" w:rsidRDefault="007B4BFD" w:rsidP="007B4BFD">
      <w:r>
        <w:rPr>
          <w:rFonts w:hint="eastAsia"/>
        </w:rPr>
        <w:t>医師に診てもらって「症状が良くならないから、別の病院に行こうかな・・・」と考えたことはありませんか？転院を考えるときは、次のような場合が多くあるようです。</w:t>
      </w:r>
    </w:p>
    <w:p w:rsidR="007B4BFD" w:rsidRDefault="007B4BFD" w:rsidP="007B4BFD">
      <w:pPr>
        <w:pStyle w:val="a3"/>
        <w:numPr>
          <w:ilvl w:val="0"/>
          <w:numId w:val="1"/>
        </w:numPr>
      </w:pPr>
      <w:r>
        <w:rPr>
          <w:rFonts w:hint="eastAsia"/>
        </w:rPr>
        <w:t>慢性病で長くかかっているが、同じ治療の連続で一向に快方に向かわない。</w:t>
      </w:r>
    </w:p>
    <w:p w:rsidR="007B4BFD" w:rsidRDefault="007B4BFD" w:rsidP="007B4BFD">
      <w:pPr>
        <w:pStyle w:val="a3"/>
        <w:numPr>
          <w:ilvl w:val="0"/>
          <w:numId w:val="1"/>
        </w:numPr>
      </w:pPr>
      <w:r>
        <w:rPr>
          <w:rFonts w:hint="eastAsia"/>
        </w:rPr>
        <w:t>急性の症状で診てもらったが、診断がどうもはっきりしない。</w:t>
      </w:r>
    </w:p>
    <w:p w:rsidR="007B4BFD" w:rsidRDefault="007B4BFD" w:rsidP="007B4BFD">
      <w:r>
        <w:rPr>
          <w:rFonts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rsidR="007B4BFD" w:rsidRDefault="007B4BFD" w:rsidP="007B4BFD">
      <w:r>
        <w:rPr>
          <w:rFonts w:hint="eastAsia"/>
        </w:rPr>
        <w:t>先のような理由で転院を考えるなら、まず今かかっている医師に疑問や不満を述べ、説明を求めることが重要です。治療方針に納得がいけば医師との信頼関係が生まれ、治療効果が上がることも期待できるのです。</w:t>
      </w:r>
    </w:p>
    <w:p w:rsidR="007B4BFD" w:rsidRDefault="007B4BFD" w:rsidP="00D37599">
      <w:pPr>
        <w:pStyle w:val="2"/>
      </w:pPr>
      <w:r>
        <w:rPr>
          <w:rFonts w:hint="eastAsia"/>
        </w:rPr>
        <w:t>適正な検査と投薬</w:t>
      </w:r>
    </w:p>
    <w:p w:rsidR="007B4BFD" w:rsidRDefault="007B4BFD" w:rsidP="007B4BFD">
      <w:r>
        <w:rPr>
          <w:rFonts w:hint="eastAsia"/>
        </w:rPr>
        <w:t>薬には副作用がつきものですが、それよりも大きな治療効果が得られるときに処方されます。また、Ｘ線検査や</w:t>
      </w:r>
      <w:r>
        <w:rPr>
          <w:rFonts w:hint="eastAsia"/>
        </w:rPr>
        <w:t>CT</w:t>
      </w:r>
      <w:r>
        <w:rPr>
          <w:rFonts w:hint="eastAsia"/>
        </w:rPr>
        <w:t>検査などで患者が浴びる</w:t>
      </w:r>
      <w:r>
        <w:rPr>
          <w:rFonts w:hint="eastAsia"/>
        </w:rPr>
        <w:t>X</w:t>
      </w:r>
      <w:r>
        <w:rPr>
          <w:rFonts w:hint="eastAsia"/>
        </w:rPr>
        <w:t>線量は問題になるほどの量ではありませんが、やはり意味もなく受けるものではないでしょう。</w:t>
      </w:r>
      <w:r>
        <w:rPr>
          <w:rFonts w:hint="eastAsia"/>
        </w:rPr>
        <w:t>X</w:t>
      </w:r>
      <w:r>
        <w:rPr>
          <w:rFonts w:hint="eastAsia"/>
        </w:rPr>
        <w:t>線検査や</w:t>
      </w:r>
      <w:r>
        <w:rPr>
          <w:rFonts w:hint="eastAsia"/>
        </w:rPr>
        <w:t>CT</w:t>
      </w:r>
      <w:r>
        <w:rPr>
          <w:rFonts w:hint="eastAsia"/>
        </w:rPr>
        <w:t>検査を受けるとだいたい</w:t>
      </w:r>
      <w:r>
        <w:rPr>
          <w:rFonts w:hint="eastAsia"/>
        </w:rPr>
        <w:t>1</w:t>
      </w:r>
      <w:r>
        <w:rPr>
          <w:rFonts w:hint="eastAsia"/>
        </w:rPr>
        <w:t>万円以上かかります。しかし、「患者負担は</w:t>
      </w:r>
      <w:r>
        <w:rPr>
          <w:rFonts w:hint="eastAsia"/>
        </w:rPr>
        <w:t>3</w:t>
      </w:r>
      <w:r>
        <w:rPr>
          <w:rFonts w:hint="eastAsia"/>
        </w:rPr>
        <w:t>割だから」と気安く無理に検査をねだったりすると、これは医療費のムダづかいにつながります。検査や投薬は診察した医師の判断で行われるものです。自分の健康のためにも、医療費のムダづかい解消のためにも、医師との相互理解が必要です。</w:t>
      </w:r>
    </w:p>
    <w:p w:rsidR="007B4BFD" w:rsidRDefault="007B4BFD" w:rsidP="00D37599">
      <w:pPr>
        <w:pStyle w:val="2"/>
      </w:pPr>
      <w:r>
        <w:rPr>
          <w:rFonts w:hint="eastAsia"/>
        </w:rPr>
        <w:t>適正な治療を</w:t>
      </w:r>
    </w:p>
    <w:p w:rsidR="007B4BFD" w:rsidRDefault="007B4BFD" w:rsidP="007B4BFD">
      <w:r>
        <w:rPr>
          <w:rFonts w:hint="eastAsia"/>
        </w:rPr>
        <w:t>患者と医師との相互理解は、現在「インフォームド・コンセント（</w:t>
      </w:r>
      <w:r>
        <w:rPr>
          <w:rFonts w:hint="eastAsia"/>
        </w:rPr>
        <w:t>Informed Consent</w:t>
      </w:r>
      <w:r>
        <w:rPr>
          <w:rFonts w:hint="eastAsia"/>
        </w:rPr>
        <w:t>）」という言葉で言い表されています。まず、治療を行う医師が患者に治療方針、内容、検査、投薬などにについて十分な説明を行います。患者は、その内容をよく理解し、納得した上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p w:rsidR="00C54756" w:rsidRPr="007B4BFD" w:rsidRDefault="00C54756"/>
    <w:sectPr w:rsidR="00C54756" w:rsidRPr="007B4BFD" w:rsidSect="006253B0">
      <w:pgSz w:w="11906" w:h="16838" w:code="9"/>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CE8" w:rsidRDefault="00DD3CE8" w:rsidP="008C0DE6">
      <w:pPr>
        <w:spacing w:after="0" w:line="240" w:lineRule="auto"/>
      </w:pPr>
      <w:r>
        <w:separator/>
      </w:r>
    </w:p>
  </w:endnote>
  <w:endnote w:type="continuationSeparator" w:id="0">
    <w:p w:rsidR="00DD3CE8" w:rsidRDefault="00DD3CE8" w:rsidP="008C0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CE8" w:rsidRDefault="00DD3CE8" w:rsidP="008C0DE6">
      <w:pPr>
        <w:spacing w:after="0" w:line="240" w:lineRule="auto"/>
      </w:pPr>
      <w:r>
        <w:separator/>
      </w:r>
    </w:p>
  </w:footnote>
  <w:footnote w:type="continuationSeparator" w:id="0">
    <w:p w:rsidR="00DD3CE8" w:rsidRDefault="00DD3CE8" w:rsidP="008C0D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E1BFD"/>
    <w:multiLevelType w:val="multilevel"/>
    <w:tmpl w:val="7DC4515C"/>
    <w:lvl w:ilvl="0">
      <w:start w:val="1"/>
      <w:numFmt w:val="decimal"/>
      <w:suff w:val="space"/>
      <w:lvlText w:val="STEP%1"/>
      <w:lvlJc w:val="left"/>
      <w:pPr>
        <w:ind w:left="425" w:hanging="425"/>
      </w:pPr>
      <w:rPr>
        <w:rFonts w:hint="eastAsia"/>
      </w:rPr>
    </w:lvl>
    <w:lvl w:ilvl="1">
      <w:start w:val="1"/>
      <w:numFmt w:val="decimal"/>
      <w:suff w:val="space"/>
      <w:lvlText w:val="%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3D82E48"/>
    <w:multiLevelType w:val="hybridMultilevel"/>
    <w:tmpl w:val="59BA89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BFD"/>
    <w:rsid w:val="00153C51"/>
    <w:rsid w:val="0045296D"/>
    <w:rsid w:val="007B4BFD"/>
    <w:rsid w:val="008C0DE6"/>
    <w:rsid w:val="008C4C3F"/>
    <w:rsid w:val="00B048DB"/>
    <w:rsid w:val="00C54756"/>
    <w:rsid w:val="00CF412D"/>
    <w:rsid w:val="00D37599"/>
    <w:rsid w:val="00D57F11"/>
    <w:rsid w:val="00DD3CE8"/>
    <w:rsid w:val="00E1485E"/>
    <w:rsid w:val="00FB1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ED83445-8DDE-43A2-90FB-1DD75FD6D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1"/>
        <w:sz w:val="21"/>
        <w:lang w:val="en-US" w:eastAsia="ja-JP" w:bidi="ar-SA"/>
        <w14:ligatures w14:val="standard"/>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12D"/>
  </w:style>
  <w:style w:type="paragraph" w:styleId="1">
    <w:name w:val="heading 1"/>
    <w:basedOn w:val="a"/>
    <w:next w:val="a"/>
    <w:link w:val="10"/>
    <w:uiPriority w:val="9"/>
    <w:qFormat/>
    <w:rsid w:val="00CF412D"/>
    <w:pPr>
      <w:keepNext/>
      <w:keepLines/>
      <w:pBdr>
        <w:bottom w:val="single" w:sz="4" w:space="2"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rPr>
  </w:style>
  <w:style w:type="paragraph" w:styleId="2">
    <w:name w:val="heading 2"/>
    <w:basedOn w:val="a"/>
    <w:next w:val="a"/>
    <w:link w:val="20"/>
    <w:uiPriority w:val="9"/>
    <w:unhideWhenUsed/>
    <w:qFormat/>
    <w:rsid w:val="00CF412D"/>
    <w:pPr>
      <w:keepNext/>
      <w:keepLines/>
      <w:spacing w:before="160" w:after="0" w:line="240" w:lineRule="auto"/>
      <w:outlineLvl w:val="1"/>
    </w:pPr>
    <w:rPr>
      <w:rFonts w:asciiTheme="majorHAnsi" w:eastAsiaTheme="majorEastAsia" w:hAnsiTheme="majorHAnsi" w:cstheme="majorBidi"/>
      <w:color w:val="2E74B5" w:themeColor="accent1" w:themeShade="BF"/>
      <w:sz w:val="28"/>
    </w:rPr>
  </w:style>
  <w:style w:type="paragraph" w:styleId="3">
    <w:name w:val="heading 3"/>
    <w:basedOn w:val="a"/>
    <w:next w:val="a"/>
    <w:link w:val="30"/>
    <w:uiPriority w:val="9"/>
    <w:unhideWhenUsed/>
    <w:qFormat/>
    <w:rsid w:val="00CF412D"/>
    <w:pPr>
      <w:keepNext/>
      <w:keepLines/>
      <w:spacing w:before="120" w:after="0" w:line="240" w:lineRule="auto"/>
      <w:outlineLvl w:val="2"/>
    </w:pPr>
    <w:rPr>
      <w:rFonts w:asciiTheme="majorHAnsi" w:eastAsiaTheme="majorEastAsia" w:hAnsiTheme="majorHAnsi" w:cstheme="majorBidi"/>
      <w:color w:val="404040" w:themeColor="text1" w:themeTint="BF"/>
      <w:sz w:val="24"/>
      <w:szCs w:val="24"/>
    </w:rPr>
  </w:style>
  <w:style w:type="paragraph" w:styleId="4">
    <w:name w:val="heading 4"/>
    <w:basedOn w:val="a"/>
    <w:next w:val="a"/>
    <w:link w:val="40"/>
    <w:uiPriority w:val="9"/>
    <w:semiHidden/>
    <w:unhideWhenUsed/>
    <w:qFormat/>
    <w:rsid w:val="00CF412D"/>
    <w:pPr>
      <w:keepNext/>
      <w:keepLines/>
      <w:spacing w:before="160" w:after="0"/>
      <w:outlineLvl w:val="3"/>
    </w:pPr>
    <w:rPr>
      <w:rFonts w:asciiTheme="majorHAnsi" w:eastAsiaTheme="majorEastAsia" w:hAnsiTheme="majorHAnsi" w:cstheme="majorBidi"/>
      <w:sz w:val="24"/>
    </w:rPr>
  </w:style>
  <w:style w:type="paragraph" w:styleId="5">
    <w:name w:val="heading 5"/>
    <w:basedOn w:val="a"/>
    <w:next w:val="a"/>
    <w:link w:val="50"/>
    <w:uiPriority w:val="9"/>
    <w:semiHidden/>
    <w:unhideWhenUsed/>
    <w:qFormat/>
    <w:rsid w:val="00CF412D"/>
    <w:pPr>
      <w:keepNext/>
      <w:keepLines/>
      <w:spacing w:before="160" w:after="0"/>
      <w:outlineLvl w:val="4"/>
    </w:pPr>
    <w:rPr>
      <w:rFonts w:asciiTheme="majorHAnsi" w:eastAsiaTheme="majorEastAsia" w:hAnsiTheme="majorHAnsi" w:cstheme="majorBidi"/>
      <w:i/>
      <w:iCs/>
      <w:sz w:val="24"/>
    </w:rPr>
  </w:style>
  <w:style w:type="paragraph" w:styleId="6">
    <w:name w:val="heading 6"/>
    <w:basedOn w:val="a"/>
    <w:next w:val="a"/>
    <w:link w:val="60"/>
    <w:uiPriority w:val="9"/>
    <w:semiHidden/>
    <w:unhideWhenUsed/>
    <w:qFormat/>
    <w:rsid w:val="00CF412D"/>
    <w:pPr>
      <w:keepNext/>
      <w:keepLines/>
      <w:spacing w:before="16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CF412D"/>
    <w:pPr>
      <w:keepNext/>
      <w:keepLines/>
      <w:spacing w:before="12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CF412D"/>
    <w:pPr>
      <w:keepNext/>
      <w:keepLines/>
      <w:spacing w:before="12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CF412D"/>
    <w:pPr>
      <w:keepNext/>
      <w:keepLines/>
      <w:spacing w:before="12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412D"/>
    <w:pPr>
      <w:spacing w:after="240" w:line="240" w:lineRule="auto"/>
      <w:ind w:left="720"/>
      <w:contextualSpacing/>
    </w:pPr>
    <w:rPr>
      <w:color w:val="404040" w:themeColor="text1" w:themeTint="BF"/>
    </w:rPr>
  </w:style>
  <w:style w:type="table" w:styleId="31">
    <w:name w:val="Light Grid Accent 1"/>
    <w:basedOn w:val="a1"/>
    <w:uiPriority w:val="62"/>
    <w:rsid w:val="007B4BFD"/>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10">
    <w:name w:val="見出し 1 (文字)"/>
    <w:basedOn w:val="a0"/>
    <w:link w:val="1"/>
    <w:uiPriority w:val="9"/>
    <w:rsid w:val="00CF412D"/>
    <w:rPr>
      <w:rFonts w:asciiTheme="majorHAnsi" w:eastAsiaTheme="majorEastAsia" w:hAnsiTheme="majorHAnsi" w:cstheme="majorBidi"/>
      <w:color w:val="2E74B5" w:themeColor="accent1" w:themeShade="BF"/>
      <w:sz w:val="36"/>
    </w:rPr>
  </w:style>
  <w:style w:type="character" w:customStyle="1" w:styleId="20">
    <w:name w:val="見出し 2 (文字)"/>
    <w:basedOn w:val="a0"/>
    <w:link w:val="2"/>
    <w:uiPriority w:val="9"/>
    <w:rsid w:val="00CF412D"/>
    <w:rPr>
      <w:rFonts w:asciiTheme="majorHAnsi" w:eastAsiaTheme="majorEastAsia" w:hAnsiTheme="majorHAnsi" w:cstheme="majorBidi"/>
      <w:color w:val="2E74B5" w:themeColor="accent1" w:themeShade="BF"/>
      <w:sz w:val="28"/>
    </w:rPr>
  </w:style>
  <w:style w:type="character" w:customStyle="1" w:styleId="30">
    <w:name w:val="見出し 3 (文字)"/>
    <w:basedOn w:val="a0"/>
    <w:link w:val="3"/>
    <w:uiPriority w:val="9"/>
    <w:rsid w:val="00CF412D"/>
    <w:rPr>
      <w:rFonts w:asciiTheme="majorHAnsi" w:eastAsiaTheme="majorEastAsia" w:hAnsiTheme="majorHAnsi" w:cstheme="majorBidi"/>
      <w:color w:val="404040" w:themeColor="text1" w:themeTint="BF"/>
      <w:sz w:val="24"/>
      <w:szCs w:val="24"/>
    </w:rPr>
  </w:style>
  <w:style w:type="character" w:customStyle="1" w:styleId="40">
    <w:name w:val="見出し 4 (文字)"/>
    <w:basedOn w:val="a0"/>
    <w:link w:val="4"/>
    <w:uiPriority w:val="9"/>
    <w:semiHidden/>
    <w:rsid w:val="00CF412D"/>
    <w:rPr>
      <w:rFonts w:asciiTheme="majorHAnsi" w:eastAsiaTheme="majorEastAsia" w:hAnsiTheme="majorHAnsi" w:cstheme="majorBidi"/>
      <w:sz w:val="24"/>
    </w:rPr>
  </w:style>
  <w:style w:type="character" w:customStyle="1" w:styleId="50">
    <w:name w:val="見出し 5 (文字)"/>
    <w:basedOn w:val="a0"/>
    <w:link w:val="5"/>
    <w:uiPriority w:val="9"/>
    <w:semiHidden/>
    <w:rsid w:val="00CF412D"/>
    <w:rPr>
      <w:rFonts w:asciiTheme="majorHAnsi" w:eastAsiaTheme="majorEastAsia" w:hAnsiTheme="majorHAnsi" w:cstheme="majorBidi"/>
      <w:i/>
      <w:iCs/>
      <w:sz w:val="24"/>
    </w:rPr>
  </w:style>
  <w:style w:type="character" w:customStyle="1" w:styleId="60">
    <w:name w:val="見出し 6 (文字)"/>
    <w:basedOn w:val="a0"/>
    <w:link w:val="6"/>
    <w:uiPriority w:val="9"/>
    <w:semiHidden/>
    <w:rsid w:val="00CF412D"/>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CF412D"/>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CF412D"/>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CF412D"/>
    <w:rPr>
      <w:rFonts w:asciiTheme="majorHAnsi" w:eastAsiaTheme="majorEastAsia" w:hAnsiTheme="majorHAnsi" w:cstheme="majorBidi"/>
      <w:i/>
      <w:iCs/>
      <w:smallCaps/>
      <w:color w:val="595959" w:themeColor="text1" w:themeTint="A6"/>
    </w:rPr>
  </w:style>
  <w:style w:type="paragraph" w:styleId="a4">
    <w:name w:val="caption"/>
    <w:basedOn w:val="a"/>
    <w:next w:val="a"/>
    <w:uiPriority w:val="35"/>
    <w:semiHidden/>
    <w:unhideWhenUsed/>
    <w:qFormat/>
    <w:rsid w:val="00CF412D"/>
    <w:pPr>
      <w:spacing w:line="240" w:lineRule="auto"/>
    </w:pPr>
    <w:rPr>
      <w:b/>
      <w:bCs/>
      <w:color w:val="404040" w:themeColor="text1" w:themeTint="BF"/>
      <w:sz w:val="20"/>
    </w:rPr>
  </w:style>
  <w:style w:type="paragraph" w:styleId="a5">
    <w:name w:val="Title"/>
    <w:basedOn w:val="a"/>
    <w:next w:val="a"/>
    <w:link w:val="a6"/>
    <w:uiPriority w:val="10"/>
    <w:qFormat/>
    <w:rsid w:val="00CF412D"/>
    <w:pPr>
      <w:spacing w:after="0" w:line="216" w:lineRule="auto"/>
      <w:contextualSpacing/>
    </w:pPr>
    <w:rPr>
      <w:rFonts w:asciiTheme="majorHAnsi" w:eastAsiaTheme="majorEastAsia" w:hAnsiTheme="majorHAnsi" w:cstheme="majorBidi"/>
      <w:color w:val="2E74B5" w:themeColor="accent1" w:themeShade="BF"/>
      <w:spacing w:val="-7"/>
      <w:sz w:val="80"/>
    </w:rPr>
  </w:style>
  <w:style w:type="character" w:customStyle="1" w:styleId="a6">
    <w:name w:val="表題 (文字)"/>
    <w:basedOn w:val="a0"/>
    <w:link w:val="a5"/>
    <w:uiPriority w:val="10"/>
    <w:rsid w:val="00CF412D"/>
    <w:rPr>
      <w:rFonts w:asciiTheme="majorHAnsi" w:eastAsiaTheme="majorEastAsia" w:hAnsiTheme="majorHAnsi" w:cstheme="majorBidi"/>
      <w:color w:val="2E74B5" w:themeColor="accent1" w:themeShade="BF"/>
      <w:spacing w:val="-7"/>
      <w:sz w:val="80"/>
    </w:rPr>
  </w:style>
  <w:style w:type="paragraph" w:styleId="a7">
    <w:name w:val="Subtitle"/>
    <w:basedOn w:val="a"/>
    <w:next w:val="a"/>
    <w:link w:val="a8"/>
    <w:uiPriority w:val="11"/>
    <w:qFormat/>
    <w:rsid w:val="00CF412D"/>
    <w:pPr>
      <w:numPr>
        <w:ilvl w:val="1"/>
      </w:numPr>
      <w:spacing w:after="240" w:line="240" w:lineRule="auto"/>
    </w:pPr>
    <w:rPr>
      <w:rFonts w:asciiTheme="majorHAnsi" w:eastAsiaTheme="majorEastAsia" w:hAnsiTheme="majorHAnsi" w:cstheme="majorBidi"/>
      <w:color w:val="404040" w:themeColor="text1" w:themeTint="BF"/>
      <w:sz w:val="30"/>
    </w:rPr>
  </w:style>
  <w:style w:type="character" w:customStyle="1" w:styleId="a8">
    <w:name w:val="副題 (文字)"/>
    <w:basedOn w:val="a0"/>
    <w:link w:val="a7"/>
    <w:uiPriority w:val="11"/>
    <w:rsid w:val="00CF412D"/>
    <w:rPr>
      <w:rFonts w:asciiTheme="majorHAnsi" w:eastAsiaTheme="majorEastAsia" w:hAnsiTheme="majorHAnsi" w:cstheme="majorBidi"/>
      <w:color w:val="404040" w:themeColor="text1" w:themeTint="BF"/>
      <w:sz w:val="30"/>
    </w:rPr>
  </w:style>
  <w:style w:type="character" w:styleId="a9">
    <w:name w:val="Strong"/>
    <w:basedOn w:val="a0"/>
    <w:uiPriority w:val="22"/>
    <w:qFormat/>
    <w:rsid w:val="00CF412D"/>
    <w:rPr>
      <w:b/>
      <w:bCs/>
    </w:rPr>
  </w:style>
  <w:style w:type="character" w:styleId="aa">
    <w:name w:val="Emphasis"/>
    <w:basedOn w:val="a0"/>
    <w:uiPriority w:val="20"/>
    <w:qFormat/>
    <w:rsid w:val="00CF412D"/>
    <w:rPr>
      <w:i/>
      <w:iCs/>
    </w:rPr>
  </w:style>
  <w:style w:type="paragraph" w:styleId="ab">
    <w:name w:val="No Spacing"/>
    <w:uiPriority w:val="1"/>
    <w:qFormat/>
    <w:rsid w:val="00CF412D"/>
    <w:pPr>
      <w:spacing w:after="0" w:line="240" w:lineRule="auto"/>
    </w:pPr>
  </w:style>
  <w:style w:type="paragraph" w:styleId="ac">
    <w:name w:val="Quote"/>
    <w:basedOn w:val="a"/>
    <w:next w:val="a"/>
    <w:link w:val="ad"/>
    <w:uiPriority w:val="29"/>
    <w:qFormat/>
    <w:rsid w:val="00CF412D"/>
    <w:pPr>
      <w:spacing w:before="240" w:after="240" w:line="252" w:lineRule="auto"/>
      <w:ind w:left="864" w:right="864"/>
      <w:jc w:val="center"/>
    </w:pPr>
    <w:rPr>
      <w:i/>
      <w:iCs/>
    </w:rPr>
  </w:style>
  <w:style w:type="character" w:customStyle="1" w:styleId="ad">
    <w:name w:val="引用文 (文字)"/>
    <w:basedOn w:val="a0"/>
    <w:link w:val="ac"/>
    <w:uiPriority w:val="29"/>
    <w:rsid w:val="00CF412D"/>
    <w:rPr>
      <w:i/>
      <w:iCs/>
    </w:rPr>
  </w:style>
  <w:style w:type="paragraph" w:styleId="21">
    <w:name w:val="Intense Quote"/>
    <w:basedOn w:val="a"/>
    <w:next w:val="a"/>
    <w:link w:val="22"/>
    <w:uiPriority w:val="30"/>
    <w:qFormat/>
    <w:rsid w:val="00CF412D"/>
    <w:pPr>
      <w:spacing w:before="100" w:beforeAutospacing="1" w:after="240"/>
      <w:ind w:left="864" w:right="864"/>
      <w:jc w:val="center"/>
    </w:pPr>
    <w:rPr>
      <w:rFonts w:asciiTheme="majorHAnsi" w:eastAsiaTheme="majorEastAsia" w:hAnsiTheme="majorHAnsi" w:cstheme="majorBidi"/>
      <w:color w:val="5B9BD5" w:themeColor="accent1"/>
      <w:sz w:val="32"/>
    </w:rPr>
  </w:style>
  <w:style w:type="character" w:customStyle="1" w:styleId="22">
    <w:name w:val="引用文 2 (文字)"/>
    <w:basedOn w:val="a0"/>
    <w:link w:val="21"/>
    <w:uiPriority w:val="30"/>
    <w:rsid w:val="00CF412D"/>
    <w:rPr>
      <w:rFonts w:asciiTheme="majorHAnsi" w:eastAsiaTheme="majorEastAsia" w:hAnsiTheme="majorHAnsi" w:cstheme="majorBidi"/>
      <w:color w:val="5B9BD5" w:themeColor="accent1"/>
      <w:sz w:val="32"/>
    </w:rPr>
  </w:style>
  <w:style w:type="character" w:styleId="ae">
    <w:name w:val="Subtle Emphasis"/>
    <w:basedOn w:val="a0"/>
    <w:uiPriority w:val="19"/>
    <w:qFormat/>
    <w:rsid w:val="00CF412D"/>
    <w:rPr>
      <w:i/>
      <w:iCs/>
      <w:color w:val="595959" w:themeColor="text1" w:themeTint="A6"/>
    </w:rPr>
  </w:style>
  <w:style w:type="character" w:styleId="23">
    <w:name w:val="Intense Emphasis"/>
    <w:basedOn w:val="a0"/>
    <w:uiPriority w:val="21"/>
    <w:qFormat/>
    <w:rsid w:val="00CF412D"/>
    <w:rPr>
      <w:b/>
      <w:bCs/>
      <w:i/>
      <w:iCs/>
    </w:rPr>
  </w:style>
  <w:style w:type="character" w:styleId="af">
    <w:name w:val="Subtle Reference"/>
    <w:basedOn w:val="a0"/>
    <w:uiPriority w:val="31"/>
    <w:qFormat/>
    <w:rsid w:val="00CF412D"/>
    <w:rPr>
      <w:smallCaps/>
      <w:color w:val="404040" w:themeColor="text1" w:themeTint="BF"/>
    </w:rPr>
  </w:style>
  <w:style w:type="character" w:styleId="24">
    <w:name w:val="Intense Reference"/>
    <w:basedOn w:val="a0"/>
    <w:uiPriority w:val="32"/>
    <w:qFormat/>
    <w:rsid w:val="00CF412D"/>
    <w:rPr>
      <w:b/>
      <w:bCs/>
      <w:smallCaps/>
      <w:u w:val="single"/>
    </w:rPr>
  </w:style>
  <w:style w:type="character" w:styleId="af0">
    <w:name w:val="Book Title"/>
    <w:basedOn w:val="a0"/>
    <w:uiPriority w:val="33"/>
    <w:qFormat/>
    <w:rsid w:val="00CF412D"/>
    <w:rPr>
      <w:b/>
      <w:bCs/>
      <w:smallCaps/>
    </w:rPr>
  </w:style>
  <w:style w:type="paragraph" w:styleId="af1">
    <w:name w:val="TOC Heading"/>
    <w:basedOn w:val="1"/>
    <w:next w:val="a"/>
    <w:uiPriority w:val="39"/>
    <w:semiHidden/>
    <w:unhideWhenUsed/>
    <w:qFormat/>
    <w:rsid w:val="00CF412D"/>
    <w:pPr>
      <w:outlineLvl w:val="9"/>
    </w:pPr>
  </w:style>
  <w:style w:type="paragraph" w:styleId="af2">
    <w:name w:val="header"/>
    <w:basedOn w:val="a"/>
    <w:link w:val="af3"/>
    <w:uiPriority w:val="99"/>
    <w:unhideWhenUsed/>
    <w:rsid w:val="008C0DE6"/>
    <w:pPr>
      <w:tabs>
        <w:tab w:val="center" w:pos="4252"/>
        <w:tab w:val="right" w:pos="8504"/>
      </w:tabs>
      <w:snapToGrid w:val="0"/>
    </w:pPr>
  </w:style>
  <w:style w:type="character" w:customStyle="1" w:styleId="af3">
    <w:name w:val="ヘッダー (文字)"/>
    <w:basedOn w:val="a0"/>
    <w:link w:val="af2"/>
    <w:uiPriority w:val="99"/>
    <w:rsid w:val="008C0DE6"/>
  </w:style>
  <w:style w:type="paragraph" w:styleId="af4">
    <w:name w:val="footer"/>
    <w:basedOn w:val="a"/>
    <w:link w:val="af5"/>
    <w:uiPriority w:val="99"/>
    <w:unhideWhenUsed/>
    <w:rsid w:val="008C0DE6"/>
    <w:pPr>
      <w:tabs>
        <w:tab w:val="center" w:pos="4252"/>
        <w:tab w:val="right" w:pos="8504"/>
      </w:tabs>
      <w:snapToGrid w:val="0"/>
    </w:pPr>
  </w:style>
  <w:style w:type="character" w:customStyle="1" w:styleId="af5">
    <w:name w:val="フッター (文字)"/>
    <w:basedOn w:val="a0"/>
    <w:link w:val="af4"/>
    <w:uiPriority w:val="99"/>
    <w:rsid w:val="008C0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037101B-DEAE-45BC-9519-9C32D019E81A}" type="doc">
      <dgm:prSet loTypeId="urn:microsoft.com/office/officeart/2005/8/layout/equation1" loCatId="process" qsTypeId="urn:microsoft.com/office/officeart/2005/8/quickstyle/3d1" qsCatId="3D" csTypeId="urn:microsoft.com/office/officeart/2005/8/colors/colorful4" csCatId="colorful" phldr="1"/>
      <dgm:spPr/>
    </dgm:pt>
    <dgm:pt modelId="{E9680AA8-A9C7-4EDE-A513-9C472D00234F}">
      <dgm:prSet phldrT="[テキスト]" custT="1"/>
      <dgm:spPr/>
      <dgm:t>
        <a:bodyPr/>
        <a:lstStyle/>
        <a:p>
          <a:r>
            <a:rPr lang="ja-JP" altLang="en-US" sz="1400" b="0">
              <a:latin typeface="HG創英角ｺﾞｼｯｸUB" pitchFamily="49" charset="-128"/>
              <a:ea typeface="HG創英角ｺﾞｼｯｸUB" pitchFamily="49" charset="-128"/>
            </a:rPr>
            <a:t>支払った</a:t>
          </a:r>
          <a:r>
            <a:rPr lang="en-US" altLang="ja-JP" sz="1400" b="0">
              <a:latin typeface="HG創英角ｺﾞｼｯｸUB" pitchFamily="49" charset="-128"/>
              <a:ea typeface="HG創英角ｺﾞｼｯｸUB" pitchFamily="49" charset="-128"/>
            </a:rPr>
            <a:t/>
          </a:r>
          <a:br>
            <a:rPr lang="en-US" altLang="ja-JP" sz="1400" b="0">
              <a:latin typeface="HG創英角ｺﾞｼｯｸUB" pitchFamily="49" charset="-128"/>
              <a:ea typeface="HG創英角ｺﾞｼｯｸUB" pitchFamily="49" charset="-128"/>
            </a:rPr>
          </a:br>
          <a:r>
            <a:rPr lang="ja-JP" altLang="en-US" sz="1400" b="0">
              <a:latin typeface="HG創英角ｺﾞｼｯｸUB" pitchFamily="49" charset="-128"/>
              <a:ea typeface="HG創英角ｺﾞｼｯｸUB" pitchFamily="49" charset="-128"/>
            </a:rPr>
            <a:t>医療費の</a:t>
          </a:r>
          <a:r>
            <a:rPr lang="en-US" altLang="ja-JP" sz="1400" b="0">
              <a:latin typeface="HG創英角ｺﾞｼｯｸUB" pitchFamily="49" charset="-128"/>
              <a:ea typeface="HG創英角ｺﾞｼｯｸUB" pitchFamily="49" charset="-128"/>
            </a:rPr>
            <a:t/>
          </a:r>
          <a:br>
            <a:rPr lang="en-US" altLang="ja-JP" sz="1400" b="0">
              <a:latin typeface="HG創英角ｺﾞｼｯｸUB" pitchFamily="49" charset="-128"/>
              <a:ea typeface="HG創英角ｺﾞｼｯｸUB" pitchFamily="49" charset="-128"/>
            </a:rPr>
          </a:br>
          <a:r>
            <a:rPr lang="ja-JP" altLang="en-US" sz="1400" b="0">
              <a:latin typeface="HG創英角ｺﾞｼｯｸUB" pitchFamily="49" charset="-128"/>
              <a:ea typeface="HG創英角ｺﾞｼｯｸUB" pitchFamily="49" charset="-128"/>
            </a:rPr>
            <a:t>総額</a:t>
          </a:r>
          <a:endParaRPr kumimoji="1" lang="ja-JP" altLang="en-US" sz="1400" b="0">
            <a:latin typeface="HG創英角ｺﾞｼｯｸUB" pitchFamily="49" charset="-128"/>
            <a:ea typeface="HG創英角ｺﾞｼｯｸUB" pitchFamily="49" charset="-128"/>
          </a:endParaRPr>
        </a:p>
      </dgm:t>
    </dgm:pt>
    <dgm:pt modelId="{232FCA84-35E5-4C13-8677-8C59C5AEECC7}" type="parTrans" cxnId="{186A1124-56D7-4B7B-BE8C-B84A5DF32DC6}">
      <dgm:prSet/>
      <dgm:spPr/>
      <dgm:t>
        <a:bodyPr/>
        <a:lstStyle/>
        <a:p>
          <a:endParaRPr kumimoji="1" lang="ja-JP" altLang="en-US" b="1"/>
        </a:p>
      </dgm:t>
    </dgm:pt>
    <dgm:pt modelId="{6D2D6196-EDC4-4901-996E-7661F49B7137}" type="sibTrans" cxnId="{186A1124-56D7-4B7B-BE8C-B84A5DF32DC6}">
      <dgm:prSet/>
      <dgm:spPr/>
      <dgm:t>
        <a:bodyPr/>
        <a:lstStyle/>
        <a:p>
          <a:endParaRPr kumimoji="1" lang="ja-JP" altLang="en-US" b="1"/>
        </a:p>
      </dgm:t>
    </dgm:pt>
    <dgm:pt modelId="{ED3DC1D6-7F2A-4344-969E-C22338257C9F}">
      <dgm:prSet phldrT="[テキスト]" custT="1"/>
      <dgm:spPr/>
      <dgm:t>
        <a:bodyPr/>
        <a:lstStyle/>
        <a:p>
          <a:r>
            <a:rPr lang="ja-JP" altLang="en-US" sz="1400" b="0">
              <a:latin typeface="HG創英角ｺﾞｼｯｸUB" pitchFamily="49" charset="-128"/>
              <a:ea typeface="HG創英角ｺﾞｼｯｸUB" pitchFamily="49" charset="-128"/>
            </a:rPr>
            <a:t>保険金などで補てんされる金額</a:t>
          </a:r>
          <a:endParaRPr kumimoji="1" lang="ja-JP" altLang="en-US" sz="1400" b="0">
            <a:latin typeface="HG創英角ｺﾞｼｯｸUB" pitchFamily="49" charset="-128"/>
            <a:ea typeface="HG創英角ｺﾞｼｯｸUB" pitchFamily="49" charset="-128"/>
          </a:endParaRPr>
        </a:p>
      </dgm:t>
    </dgm:pt>
    <dgm:pt modelId="{76768845-EAAF-4B09-9FDD-9D7F76CAC2A7}" type="parTrans" cxnId="{BADA9900-2A88-44B3-8BC3-90A800C63F38}">
      <dgm:prSet/>
      <dgm:spPr/>
      <dgm:t>
        <a:bodyPr/>
        <a:lstStyle/>
        <a:p>
          <a:endParaRPr kumimoji="1" lang="ja-JP" altLang="en-US" b="1"/>
        </a:p>
      </dgm:t>
    </dgm:pt>
    <dgm:pt modelId="{5A16A313-10AA-4C1B-8008-554BBA956410}" type="sibTrans" cxnId="{BADA9900-2A88-44B3-8BC3-90A800C63F38}">
      <dgm:prSet/>
      <dgm:spPr/>
      <dgm:t>
        <a:bodyPr/>
        <a:lstStyle/>
        <a:p>
          <a:endParaRPr kumimoji="1" lang="ja-JP" altLang="en-US" b="1"/>
        </a:p>
      </dgm:t>
    </dgm:pt>
    <dgm:pt modelId="{BEC84D36-5CA9-439A-80D6-C7F2090C64F5}">
      <dgm:prSet phldrT="[テキスト]" custT="1"/>
      <dgm:spPr/>
      <dgm:t>
        <a:bodyPr/>
        <a:lstStyle/>
        <a:p>
          <a:pPr algn="ctr"/>
          <a:r>
            <a:rPr lang="en-US" sz="1400" b="0">
              <a:latin typeface="HG創英角ｺﾞｼｯｸUB" pitchFamily="49" charset="-128"/>
              <a:ea typeface="HG創英角ｺﾞｼｯｸUB" pitchFamily="49" charset="-128"/>
            </a:rPr>
            <a:t>10</a:t>
          </a:r>
          <a:r>
            <a:rPr lang="ja-JP" sz="1400" b="0">
              <a:latin typeface="HG創英角ｺﾞｼｯｸUB" pitchFamily="49" charset="-128"/>
              <a:ea typeface="HG創英角ｺﾞｼｯｸUB" pitchFamily="49" charset="-128"/>
            </a:rPr>
            <a:t>万円</a:t>
          </a:r>
          <a:r>
            <a:rPr lang="en-US" altLang="ja-JP" sz="1200" b="0">
              <a:latin typeface="HG創英角ｺﾞｼｯｸUB" pitchFamily="49" charset="-128"/>
              <a:ea typeface="HG創英角ｺﾞｼｯｸUB" pitchFamily="49" charset="-128"/>
            </a:rPr>
            <a:t/>
          </a:r>
          <a:br>
            <a:rPr lang="en-US" altLang="ja-JP" sz="1200" b="0">
              <a:latin typeface="HG創英角ｺﾞｼｯｸUB" pitchFamily="49" charset="-128"/>
              <a:ea typeface="HG創英角ｺﾞｼｯｸUB" pitchFamily="49" charset="-128"/>
            </a:rPr>
          </a:br>
          <a:r>
            <a:rPr lang="ja-JP" sz="900" b="0">
              <a:latin typeface="HG創英角ｺﾞｼｯｸUB" pitchFamily="49" charset="-128"/>
              <a:ea typeface="HG創英角ｺﾞｼｯｸUB" pitchFamily="49" charset="-128"/>
            </a:rPr>
            <a:t>（所得合計額が</a:t>
          </a:r>
          <a:r>
            <a:rPr lang="en-US" sz="900" b="0">
              <a:latin typeface="HG創英角ｺﾞｼｯｸUB" pitchFamily="49" charset="-128"/>
              <a:ea typeface="HG創英角ｺﾞｼｯｸUB" pitchFamily="49" charset="-128"/>
            </a:rPr>
            <a:t>200</a:t>
          </a:r>
          <a:r>
            <a:rPr lang="ja-JP" sz="900" b="0">
              <a:latin typeface="HG創英角ｺﾞｼｯｸUB" pitchFamily="49" charset="-128"/>
              <a:ea typeface="HG創英角ｺﾞｼｯｸUB" pitchFamily="49" charset="-128"/>
            </a:rPr>
            <a:t>万円</a:t>
          </a:r>
          <a:r>
            <a:rPr lang="ja-JP" altLang="en-US" sz="900" b="0">
              <a:latin typeface="HG創英角ｺﾞｼｯｸUB" pitchFamily="49" charset="-128"/>
              <a:ea typeface="HG創英角ｺﾞｼｯｸUB" pitchFamily="49" charset="-128"/>
            </a:rPr>
            <a:t>未満の場合は所得</a:t>
          </a:r>
          <a:r>
            <a:rPr lang="ja-JP" sz="900" b="0">
              <a:latin typeface="HG創英角ｺﾞｼｯｸUB" pitchFamily="49" charset="-128"/>
              <a:ea typeface="HG創英角ｺﾞｼｯｸUB" pitchFamily="49" charset="-128"/>
            </a:rPr>
            <a:t>額の</a:t>
          </a:r>
          <a:r>
            <a:rPr lang="en-US" sz="900" b="0">
              <a:latin typeface="HG創英角ｺﾞｼｯｸUB" pitchFamily="49" charset="-128"/>
              <a:ea typeface="HG創英角ｺﾞｼｯｸUB" pitchFamily="49" charset="-128"/>
            </a:rPr>
            <a:t>5%</a:t>
          </a:r>
          <a:r>
            <a:rPr lang="ja-JP" sz="900" b="0">
              <a:latin typeface="HG創英角ｺﾞｼｯｸUB" pitchFamily="49" charset="-128"/>
              <a:ea typeface="HG創英角ｺﾞｼｯｸUB" pitchFamily="49" charset="-128"/>
            </a:rPr>
            <a:t>）</a:t>
          </a:r>
          <a:endParaRPr kumimoji="1" lang="ja-JP" altLang="en-US" sz="900" b="0">
            <a:latin typeface="HG創英角ｺﾞｼｯｸUB" pitchFamily="49" charset="-128"/>
            <a:ea typeface="HG創英角ｺﾞｼｯｸUB" pitchFamily="49" charset="-128"/>
          </a:endParaRPr>
        </a:p>
      </dgm:t>
    </dgm:pt>
    <dgm:pt modelId="{A54C705B-D36D-4636-9E91-66D8F532C149}" type="parTrans" cxnId="{D537EA54-83BE-4C04-9D57-09D4DD64218A}">
      <dgm:prSet/>
      <dgm:spPr/>
      <dgm:t>
        <a:bodyPr/>
        <a:lstStyle/>
        <a:p>
          <a:endParaRPr kumimoji="1" lang="ja-JP" altLang="en-US" b="1"/>
        </a:p>
      </dgm:t>
    </dgm:pt>
    <dgm:pt modelId="{C97B23F3-AE25-4EFF-86A6-C933949A9759}" type="sibTrans" cxnId="{D537EA54-83BE-4C04-9D57-09D4DD64218A}">
      <dgm:prSet/>
      <dgm:spPr/>
      <dgm:t>
        <a:bodyPr/>
        <a:lstStyle/>
        <a:p>
          <a:endParaRPr kumimoji="1" lang="ja-JP" altLang="en-US" b="1"/>
        </a:p>
      </dgm:t>
    </dgm:pt>
    <dgm:pt modelId="{BAF6ED9B-71A2-4248-96E9-0227ED501A5A}">
      <dgm:prSet phldrT="[テキスト]" custT="1"/>
      <dgm:spPr/>
      <dgm:t>
        <a:bodyPr/>
        <a:lstStyle/>
        <a:p>
          <a:r>
            <a:rPr lang="ja-JP" sz="1800" b="0">
              <a:latin typeface="HG創英角ｺﾞｼｯｸUB" pitchFamily="49" charset="-128"/>
              <a:ea typeface="HG創英角ｺﾞｼｯｸUB" pitchFamily="49" charset="-128"/>
            </a:rPr>
            <a:t>医療費</a:t>
          </a:r>
          <a:r>
            <a:rPr lang="en-US" altLang="ja-JP" sz="1800" b="0">
              <a:latin typeface="HG創英角ｺﾞｼｯｸUB" pitchFamily="49" charset="-128"/>
              <a:ea typeface="HG創英角ｺﾞｼｯｸUB" pitchFamily="49" charset="-128"/>
            </a:rPr>
            <a:t/>
          </a:r>
          <a:br>
            <a:rPr lang="en-US" altLang="ja-JP" sz="1800" b="0">
              <a:latin typeface="HG創英角ｺﾞｼｯｸUB" pitchFamily="49" charset="-128"/>
              <a:ea typeface="HG創英角ｺﾞｼｯｸUB" pitchFamily="49" charset="-128"/>
            </a:rPr>
          </a:br>
          <a:r>
            <a:rPr lang="ja-JP" sz="1800" b="0">
              <a:latin typeface="HG創英角ｺﾞｼｯｸUB" pitchFamily="49" charset="-128"/>
              <a:ea typeface="HG創英角ｺﾞｼｯｸUB" pitchFamily="49" charset="-128"/>
            </a:rPr>
            <a:t>控除額</a:t>
          </a:r>
          <a:r>
            <a:rPr lang="en-US" altLang="ja-JP" sz="1800" b="0">
              <a:latin typeface="HG創英角ｺﾞｼｯｸUB" pitchFamily="49" charset="-128"/>
              <a:ea typeface="HG創英角ｺﾞｼｯｸUB" pitchFamily="49" charset="-128"/>
            </a:rPr>
            <a:t/>
          </a:r>
          <a:br>
            <a:rPr lang="en-US" altLang="ja-JP" sz="1800" b="0">
              <a:latin typeface="HG創英角ｺﾞｼｯｸUB" pitchFamily="49" charset="-128"/>
              <a:ea typeface="HG創英角ｺﾞｼｯｸUB" pitchFamily="49" charset="-128"/>
            </a:rPr>
          </a:br>
          <a:r>
            <a:rPr lang="ja-JP" sz="900" b="0">
              <a:latin typeface="HG創英角ｺﾞｼｯｸUB" pitchFamily="49" charset="-128"/>
              <a:ea typeface="HG創英角ｺﾞｼｯｸUB" pitchFamily="49" charset="-128"/>
            </a:rPr>
            <a:t>（最高</a:t>
          </a:r>
          <a:r>
            <a:rPr lang="en-US" sz="900" b="0">
              <a:latin typeface="HG創英角ｺﾞｼｯｸUB" pitchFamily="49" charset="-128"/>
              <a:ea typeface="HG創英角ｺﾞｼｯｸUB" pitchFamily="49" charset="-128"/>
            </a:rPr>
            <a:t>200</a:t>
          </a:r>
          <a:r>
            <a:rPr lang="ja-JP" sz="900" b="0">
              <a:latin typeface="HG創英角ｺﾞｼｯｸUB" pitchFamily="49" charset="-128"/>
              <a:ea typeface="HG創英角ｺﾞｼｯｸUB" pitchFamily="49" charset="-128"/>
            </a:rPr>
            <a:t>万円）</a:t>
          </a:r>
          <a:endParaRPr kumimoji="1" lang="ja-JP" altLang="en-US" sz="1000" b="0">
            <a:latin typeface="HG創英角ｺﾞｼｯｸUB" pitchFamily="49" charset="-128"/>
            <a:ea typeface="HG創英角ｺﾞｼｯｸUB" pitchFamily="49" charset="-128"/>
          </a:endParaRPr>
        </a:p>
      </dgm:t>
    </dgm:pt>
    <dgm:pt modelId="{46A1386F-E1E0-4221-8C0C-C3A364795F6A}" type="parTrans" cxnId="{F8CDF69A-6608-4E1E-A3C1-A319F78B03ED}">
      <dgm:prSet/>
      <dgm:spPr/>
      <dgm:t>
        <a:bodyPr/>
        <a:lstStyle/>
        <a:p>
          <a:endParaRPr kumimoji="1" lang="ja-JP" altLang="en-US" b="1"/>
        </a:p>
      </dgm:t>
    </dgm:pt>
    <dgm:pt modelId="{3C69C021-D7A1-4686-A139-171D4BCEDE40}" type="sibTrans" cxnId="{F8CDF69A-6608-4E1E-A3C1-A319F78B03ED}">
      <dgm:prSet/>
      <dgm:spPr/>
      <dgm:t>
        <a:bodyPr/>
        <a:lstStyle/>
        <a:p>
          <a:endParaRPr kumimoji="1" lang="ja-JP" altLang="en-US" b="1"/>
        </a:p>
      </dgm:t>
    </dgm:pt>
    <dgm:pt modelId="{2950A3FF-7073-4BBA-ADC0-31B5617BC7C4}" type="pres">
      <dgm:prSet presAssocID="{0037101B-DEAE-45BC-9519-9C32D019E81A}" presName="linearFlow" presStyleCnt="0">
        <dgm:presLayoutVars>
          <dgm:dir/>
          <dgm:resizeHandles val="exact"/>
        </dgm:presLayoutVars>
      </dgm:prSet>
      <dgm:spPr/>
    </dgm:pt>
    <dgm:pt modelId="{8FED1455-56D8-49AE-8629-D782FA30F1FA}" type="pres">
      <dgm:prSet presAssocID="{E9680AA8-A9C7-4EDE-A513-9C472D00234F}" presName="node" presStyleLbl="node1" presStyleIdx="0" presStyleCnt="4" custScaleX="235795" custScaleY="235795">
        <dgm:presLayoutVars>
          <dgm:bulletEnabled val="1"/>
        </dgm:presLayoutVars>
      </dgm:prSet>
      <dgm:spPr>
        <a:prstGeom prst="roundRect">
          <a:avLst/>
        </a:prstGeom>
      </dgm:spPr>
      <dgm:t>
        <a:bodyPr/>
        <a:lstStyle/>
        <a:p>
          <a:endParaRPr kumimoji="1" lang="ja-JP" altLang="en-US"/>
        </a:p>
      </dgm:t>
    </dgm:pt>
    <dgm:pt modelId="{78088948-0830-4DE1-A821-DA28A9FFD23F}" type="pres">
      <dgm:prSet presAssocID="{6D2D6196-EDC4-4901-996E-7661F49B7137}" presName="spacerL" presStyleCnt="0"/>
      <dgm:spPr/>
    </dgm:pt>
    <dgm:pt modelId="{2407139C-78AE-4021-A93E-5D7930333918}" type="pres">
      <dgm:prSet presAssocID="{6D2D6196-EDC4-4901-996E-7661F49B7137}" presName="sibTrans" presStyleLbl="sibTrans2D1" presStyleIdx="0" presStyleCnt="3"/>
      <dgm:spPr>
        <a:prstGeom prst="mathMinus">
          <a:avLst/>
        </a:prstGeom>
      </dgm:spPr>
      <dgm:t>
        <a:bodyPr/>
        <a:lstStyle/>
        <a:p>
          <a:endParaRPr kumimoji="1" lang="ja-JP" altLang="en-US"/>
        </a:p>
      </dgm:t>
    </dgm:pt>
    <dgm:pt modelId="{A10F933C-B147-446F-B516-7EADD7378ABD}" type="pres">
      <dgm:prSet presAssocID="{6D2D6196-EDC4-4901-996E-7661F49B7137}" presName="spacerR" presStyleCnt="0"/>
      <dgm:spPr/>
    </dgm:pt>
    <dgm:pt modelId="{04409922-1378-4DAB-ABBD-14A995AFD75B}" type="pres">
      <dgm:prSet presAssocID="{ED3DC1D6-7F2A-4344-969E-C22338257C9F}" presName="node" presStyleLbl="node1" presStyleIdx="1" presStyleCnt="4" custScaleX="235795" custScaleY="235795">
        <dgm:presLayoutVars>
          <dgm:bulletEnabled val="1"/>
        </dgm:presLayoutVars>
      </dgm:prSet>
      <dgm:spPr>
        <a:prstGeom prst="roundRect">
          <a:avLst/>
        </a:prstGeom>
      </dgm:spPr>
      <dgm:t>
        <a:bodyPr/>
        <a:lstStyle/>
        <a:p>
          <a:endParaRPr kumimoji="1" lang="ja-JP" altLang="en-US"/>
        </a:p>
      </dgm:t>
    </dgm:pt>
    <dgm:pt modelId="{8A0E7CBE-4CDD-4FFD-9928-388D4CD72A5A}" type="pres">
      <dgm:prSet presAssocID="{5A16A313-10AA-4C1B-8008-554BBA956410}" presName="spacerL" presStyleCnt="0"/>
      <dgm:spPr/>
    </dgm:pt>
    <dgm:pt modelId="{DCE47B08-A1E3-44DF-8A12-82F2755DC635}" type="pres">
      <dgm:prSet presAssocID="{5A16A313-10AA-4C1B-8008-554BBA956410}" presName="sibTrans" presStyleLbl="sibTrans2D1" presStyleIdx="1" presStyleCnt="3"/>
      <dgm:spPr>
        <a:prstGeom prst="mathMinus">
          <a:avLst/>
        </a:prstGeom>
      </dgm:spPr>
      <dgm:t>
        <a:bodyPr/>
        <a:lstStyle/>
        <a:p>
          <a:endParaRPr kumimoji="1" lang="ja-JP" altLang="en-US"/>
        </a:p>
      </dgm:t>
    </dgm:pt>
    <dgm:pt modelId="{E207CB30-68B4-441E-82ED-A5CF510B5261}" type="pres">
      <dgm:prSet presAssocID="{5A16A313-10AA-4C1B-8008-554BBA956410}" presName="spacerR" presStyleCnt="0"/>
      <dgm:spPr/>
    </dgm:pt>
    <dgm:pt modelId="{905D9761-42DB-4CF6-8EC9-5E478C70B120}" type="pres">
      <dgm:prSet presAssocID="{BEC84D36-5CA9-439A-80D6-C7F2090C64F5}" presName="node" presStyleLbl="node1" presStyleIdx="2" presStyleCnt="4" custScaleX="235795" custScaleY="235795">
        <dgm:presLayoutVars>
          <dgm:bulletEnabled val="1"/>
        </dgm:presLayoutVars>
      </dgm:prSet>
      <dgm:spPr>
        <a:prstGeom prst="roundRect">
          <a:avLst/>
        </a:prstGeom>
      </dgm:spPr>
      <dgm:t>
        <a:bodyPr/>
        <a:lstStyle/>
        <a:p>
          <a:endParaRPr kumimoji="1" lang="ja-JP" altLang="en-US"/>
        </a:p>
      </dgm:t>
    </dgm:pt>
    <dgm:pt modelId="{6F4DFA0D-5752-40EE-BA5A-CF3AEBC3EB66}" type="pres">
      <dgm:prSet presAssocID="{C97B23F3-AE25-4EFF-86A6-C933949A9759}" presName="spacerL" presStyleCnt="0"/>
      <dgm:spPr/>
    </dgm:pt>
    <dgm:pt modelId="{D18633F8-CAA6-4D03-9421-3427D87C30A9}" type="pres">
      <dgm:prSet presAssocID="{C97B23F3-AE25-4EFF-86A6-C933949A9759}" presName="sibTrans" presStyleLbl="sibTrans2D1" presStyleIdx="2" presStyleCnt="3"/>
      <dgm:spPr/>
      <dgm:t>
        <a:bodyPr/>
        <a:lstStyle/>
        <a:p>
          <a:endParaRPr kumimoji="1" lang="ja-JP" altLang="en-US"/>
        </a:p>
      </dgm:t>
    </dgm:pt>
    <dgm:pt modelId="{3765B525-2DA4-4C0A-87B0-7F58ECBA9589}" type="pres">
      <dgm:prSet presAssocID="{C97B23F3-AE25-4EFF-86A6-C933949A9759}" presName="spacerR" presStyleCnt="0"/>
      <dgm:spPr/>
    </dgm:pt>
    <dgm:pt modelId="{5768195D-C32C-4C8C-B773-9E8BA791757F}" type="pres">
      <dgm:prSet presAssocID="{BAF6ED9B-71A2-4248-96E9-0227ED501A5A}" presName="node" presStyleLbl="node1" presStyleIdx="3" presStyleCnt="4" custScaleX="235795" custScaleY="235795">
        <dgm:presLayoutVars>
          <dgm:bulletEnabled val="1"/>
        </dgm:presLayoutVars>
      </dgm:prSet>
      <dgm:spPr>
        <a:prstGeom prst="roundRect">
          <a:avLst/>
        </a:prstGeom>
      </dgm:spPr>
      <dgm:t>
        <a:bodyPr/>
        <a:lstStyle/>
        <a:p>
          <a:endParaRPr kumimoji="1" lang="ja-JP" altLang="en-US"/>
        </a:p>
      </dgm:t>
    </dgm:pt>
  </dgm:ptLst>
  <dgm:cxnLst>
    <dgm:cxn modelId="{F8CDF69A-6608-4E1E-A3C1-A319F78B03ED}" srcId="{0037101B-DEAE-45BC-9519-9C32D019E81A}" destId="{BAF6ED9B-71A2-4248-96E9-0227ED501A5A}" srcOrd="3" destOrd="0" parTransId="{46A1386F-E1E0-4221-8C0C-C3A364795F6A}" sibTransId="{3C69C021-D7A1-4686-A139-171D4BCEDE40}"/>
    <dgm:cxn modelId="{3BF28473-F6D0-4115-BAED-64839CB7A747}" type="presOf" srcId="{BEC84D36-5CA9-439A-80D6-C7F2090C64F5}" destId="{905D9761-42DB-4CF6-8EC9-5E478C70B120}" srcOrd="0" destOrd="0" presId="urn:microsoft.com/office/officeart/2005/8/layout/equation1"/>
    <dgm:cxn modelId="{24B4A19A-AC71-428A-8C55-E73ADCA5E7DB}" type="presOf" srcId="{6D2D6196-EDC4-4901-996E-7661F49B7137}" destId="{2407139C-78AE-4021-A93E-5D7930333918}" srcOrd="0" destOrd="0" presId="urn:microsoft.com/office/officeart/2005/8/layout/equation1"/>
    <dgm:cxn modelId="{6823CA46-E3A2-4F5F-8701-B1EC451A318C}" type="presOf" srcId="{C97B23F3-AE25-4EFF-86A6-C933949A9759}" destId="{D18633F8-CAA6-4D03-9421-3427D87C30A9}" srcOrd="0" destOrd="0" presId="urn:microsoft.com/office/officeart/2005/8/layout/equation1"/>
    <dgm:cxn modelId="{A9C7D501-ABC0-4169-AA36-5F232D0F90E0}" type="presOf" srcId="{ED3DC1D6-7F2A-4344-969E-C22338257C9F}" destId="{04409922-1378-4DAB-ABBD-14A995AFD75B}" srcOrd="0" destOrd="0" presId="urn:microsoft.com/office/officeart/2005/8/layout/equation1"/>
    <dgm:cxn modelId="{5FBA7CBA-FBD4-461C-B8F6-AA58DD0FBC51}" type="presOf" srcId="{BAF6ED9B-71A2-4248-96E9-0227ED501A5A}" destId="{5768195D-C32C-4C8C-B773-9E8BA791757F}" srcOrd="0" destOrd="0" presId="urn:microsoft.com/office/officeart/2005/8/layout/equation1"/>
    <dgm:cxn modelId="{B5B94C8D-ADEB-4C08-945C-117F2B14B299}" type="presOf" srcId="{0037101B-DEAE-45BC-9519-9C32D019E81A}" destId="{2950A3FF-7073-4BBA-ADC0-31B5617BC7C4}" srcOrd="0" destOrd="0" presId="urn:microsoft.com/office/officeart/2005/8/layout/equation1"/>
    <dgm:cxn modelId="{186A1124-56D7-4B7B-BE8C-B84A5DF32DC6}" srcId="{0037101B-DEAE-45BC-9519-9C32D019E81A}" destId="{E9680AA8-A9C7-4EDE-A513-9C472D00234F}" srcOrd="0" destOrd="0" parTransId="{232FCA84-35E5-4C13-8677-8C59C5AEECC7}" sibTransId="{6D2D6196-EDC4-4901-996E-7661F49B7137}"/>
    <dgm:cxn modelId="{BADA9900-2A88-44B3-8BC3-90A800C63F38}" srcId="{0037101B-DEAE-45BC-9519-9C32D019E81A}" destId="{ED3DC1D6-7F2A-4344-969E-C22338257C9F}" srcOrd="1" destOrd="0" parTransId="{76768845-EAAF-4B09-9FDD-9D7F76CAC2A7}" sibTransId="{5A16A313-10AA-4C1B-8008-554BBA956410}"/>
    <dgm:cxn modelId="{D537EA54-83BE-4C04-9D57-09D4DD64218A}" srcId="{0037101B-DEAE-45BC-9519-9C32D019E81A}" destId="{BEC84D36-5CA9-439A-80D6-C7F2090C64F5}" srcOrd="2" destOrd="0" parTransId="{A54C705B-D36D-4636-9E91-66D8F532C149}" sibTransId="{C97B23F3-AE25-4EFF-86A6-C933949A9759}"/>
    <dgm:cxn modelId="{366EEDEA-CE28-4FFF-91E8-990307FA945F}" type="presOf" srcId="{5A16A313-10AA-4C1B-8008-554BBA956410}" destId="{DCE47B08-A1E3-44DF-8A12-82F2755DC635}" srcOrd="0" destOrd="0" presId="urn:microsoft.com/office/officeart/2005/8/layout/equation1"/>
    <dgm:cxn modelId="{03A6A8FD-A1A2-423E-B9BE-2A5C7BA488DF}" type="presOf" srcId="{E9680AA8-A9C7-4EDE-A513-9C472D00234F}" destId="{8FED1455-56D8-49AE-8629-D782FA30F1FA}" srcOrd="0" destOrd="0" presId="urn:microsoft.com/office/officeart/2005/8/layout/equation1"/>
    <dgm:cxn modelId="{3BBD1463-D4FC-4FBF-BFF5-4FC3D5F05796}" type="presParOf" srcId="{2950A3FF-7073-4BBA-ADC0-31B5617BC7C4}" destId="{8FED1455-56D8-49AE-8629-D782FA30F1FA}" srcOrd="0" destOrd="0" presId="urn:microsoft.com/office/officeart/2005/8/layout/equation1"/>
    <dgm:cxn modelId="{D56CC04A-09A2-44BF-BACC-68A8B45E60C8}" type="presParOf" srcId="{2950A3FF-7073-4BBA-ADC0-31B5617BC7C4}" destId="{78088948-0830-4DE1-A821-DA28A9FFD23F}" srcOrd="1" destOrd="0" presId="urn:microsoft.com/office/officeart/2005/8/layout/equation1"/>
    <dgm:cxn modelId="{005CE675-8673-4BCC-8227-92B873019E38}" type="presParOf" srcId="{2950A3FF-7073-4BBA-ADC0-31B5617BC7C4}" destId="{2407139C-78AE-4021-A93E-5D7930333918}" srcOrd="2" destOrd="0" presId="urn:microsoft.com/office/officeart/2005/8/layout/equation1"/>
    <dgm:cxn modelId="{30AA35B4-D033-4DA0-A1FB-4EC8DCBCFFDE}" type="presParOf" srcId="{2950A3FF-7073-4BBA-ADC0-31B5617BC7C4}" destId="{A10F933C-B147-446F-B516-7EADD7378ABD}" srcOrd="3" destOrd="0" presId="urn:microsoft.com/office/officeart/2005/8/layout/equation1"/>
    <dgm:cxn modelId="{F7705D7C-E617-4C64-BDE0-10A49C119EAE}" type="presParOf" srcId="{2950A3FF-7073-4BBA-ADC0-31B5617BC7C4}" destId="{04409922-1378-4DAB-ABBD-14A995AFD75B}" srcOrd="4" destOrd="0" presId="urn:microsoft.com/office/officeart/2005/8/layout/equation1"/>
    <dgm:cxn modelId="{F963C86A-4F00-4107-9ABE-0E3E9B04908A}" type="presParOf" srcId="{2950A3FF-7073-4BBA-ADC0-31B5617BC7C4}" destId="{8A0E7CBE-4CDD-4FFD-9928-388D4CD72A5A}" srcOrd="5" destOrd="0" presId="urn:microsoft.com/office/officeart/2005/8/layout/equation1"/>
    <dgm:cxn modelId="{B3B6826A-1159-49D6-9071-7189C9367FBF}" type="presParOf" srcId="{2950A3FF-7073-4BBA-ADC0-31B5617BC7C4}" destId="{DCE47B08-A1E3-44DF-8A12-82F2755DC635}" srcOrd="6" destOrd="0" presId="urn:microsoft.com/office/officeart/2005/8/layout/equation1"/>
    <dgm:cxn modelId="{238AD579-0D01-4812-9AD8-7F81EA1F306D}" type="presParOf" srcId="{2950A3FF-7073-4BBA-ADC0-31B5617BC7C4}" destId="{E207CB30-68B4-441E-82ED-A5CF510B5261}" srcOrd="7" destOrd="0" presId="urn:microsoft.com/office/officeart/2005/8/layout/equation1"/>
    <dgm:cxn modelId="{F2EA22D9-85FC-4EBE-AB20-9798404C3C86}" type="presParOf" srcId="{2950A3FF-7073-4BBA-ADC0-31B5617BC7C4}" destId="{905D9761-42DB-4CF6-8EC9-5E478C70B120}" srcOrd="8" destOrd="0" presId="urn:microsoft.com/office/officeart/2005/8/layout/equation1"/>
    <dgm:cxn modelId="{2D881105-0834-47C0-A01C-FCEC4EF3D556}" type="presParOf" srcId="{2950A3FF-7073-4BBA-ADC0-31B5617BC7C4}" destId="{6F4DFA0D-5752-40EE-BA5A-CF3AEBC3EB66}" srcOrd="9" destOrd="0" presId="urn:microsoft.com/office/officeart/2005/8/layout/equation1"/>
    <dgm:cxn modelId="{544092A1-7B5C-4A8C-9FF3-95F6E01C9ED5}" type="presParOf" srcId="{2950A3FF-7073-4BBA-ADC0-31B5617BC7C4}" destId="{D18633F8-CAA6-4D03-9421-3427D87C30A9}" srcOrd="10" destOrd="0" presId="urn:microsoft.com/office/officeart/2005/8/layout/equation1"/>
    <dgm:cxn modelId="{1521C700-EA6D-46A6-A08C-26AC82D65E36}" type="presParOf" srcId="{2950A3FF-7073-4BBA-ADC0-31B5617BC7C4}" destId="{3765B525-2DA4-4C0A-87B0-7F58ECBA9589}" srcOrd="11" destOrd="0" presId="urn:microsoft.com/office/officeart/2005/8/layout/equation1"/>
    <dgm:cxn modelId="{4520009C-A29B-4284-9BA1-5D77962930DB}" type="presParOf" srcId="{2950A3FF-7073-4BBA-ADC0-31B5617BC7C4}" destId="{5768195D-C32C-4C8C-B773-9E8BA791757F}" srcOrd="12" destOrd="0" presId="urn:microsoft.com/office/officeart/2005/8/layout/equati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D1455-56D8-49AE-8629-D782FA30F1FA}">
      <dsp:nvSpPr>
        <dsp:cNvPr id="0" name=""/>
        <dsp:cNvSpPr/>
      </dsp:nvSpPr>
      <dsp:spPr>
        <a:xfrm>
          <a:off x="2738" y="181381"/>
          <a:ext cx="1227912" cy="1227912"/>
        </a:xfrm>
        <a:prstGeom prst="round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ja-JP" altLang="en-US" sz="1400" b="0" kern="1200">
              <a:latin typeface="HG創英角ｺﾞｼｯｸUB" pitchFamily="49" charset="-128"/>
              <a:ea typeface="HG創英角ｺﾞｼｯｸUB" pitchFamily="49" charset="-128"/>
            </a:rPr>
            <a:t>支払った</a:t>
          </a:r>
          <a:r>
            <a:rPr lang="en-US" altLang="ja-JP" sz="1400" b="0" kern="1200">
              <a:latin typeface="HG創英角ｺﾞｼｯｸUB" pitchFamily="49" charset="-128"/>
              <a:ea typeface="HG創英角ｺﾞｼｯｸUB" pitchFamily="49" charset="-128"/>
            </a:rPr>
            <a:t/>
          </a:r>
          <a:br>
            <a:rPr lang="en-US" altLang="ja-JP" sz="1400" b="0" kern="1200">
              <a:latin typeface="HG創英角ｺﾞｼｯｸUB" pitchFamily="49" charset="-128"/>
              <a:ea typeface="HG創英角ｺﾞｼｯｸUB" pitchFamily="49" charset="-128"/>
            </a:rPr>
          </a:br>
          <a:r>
            <a:rPr lang="ja-JP" altLang="en-US" sz="1400" b="0" kern="1200">
              <a:latin typeface="HG創英角ｺﾞｼｯｸUB" pitchFamily="49" charset="-128"/>
              <a:ea typeface="HG創英角ｺﾞｼｯｸUB" pitchFamily="49" charset="-128"/>
            </a:rPr>
            <a:t>医療費の</a:t>
          </a:r>
          <a:r>
            <a:rPr lang="en-US" altLang="ja-JP" sz="1400" b="0" kern="1200">
              <a:latin typeface="HG創英角ｺﾞｼｯｸUB" pitchFamily="49" charset="-128"/>
              <a:ea typeface="HG創英角ｺﾞｼｯｸUB" pitchFamily="49" charset="-128"/>
            </a:rPr>
            <a:t/>
          </a:r>
          <a:br>
            <a:rPr lang="en-US" altLang="ja-JP" sz="1400" b="0" kern="1200">
              <a:latin typeface="HG創英角ｺﾞｼｯｸUB" pitchFamily="49" charset="-128"/>
              <a:ea typeface="HG創英角ｺﾞｼｯｸUB" pitchFamily="49" charset="-128"/>
            </a:rPr>
          </a:br>
          <a:r>
            <a:rPr lang="ja-JP" altLang="en-US" sz="1400" b="0" kern="1200">
              <a:latin typeface="HG創英角ｺﾞｼｯｸUB" pitchFamily="49" charset="-128"/>
              <a:ea typeface="HG創英角ｺﾞｼｯｸUB" pitchFamily="49" charset="-128"/>
            </a:rPr>
            <a:t>総額</a:t>
          </a:r>
          <a:endParaRPr kumimoji="1" lang="ja-JP" altLang="en-US" sz="1400" b="0" kern="1200">
            <a:latin typeface="HG創英角ｺﾞｼｯｸUB" pitchFamily="49" charset="-128"/>
            <a:ea typeface="HG創英角ｺﾞｼｯｸUB" pitchFamily="49" charset="-128"/>
          </a:endParaRPr>
        </a:p>
      </dsp:txBody>
      <dsp:txXfrm>
        <a:off x="62680" y="241323"/>
        <a:ext cx="1108028" cy="1108028"/>
      </dsp:txXfrm>
    </dsp:sp>
    <dsp:sp modelId="{2407139C-78AE-4021-A93E-5D7930333918}">
      <dsp:nvSpPr>
        <dsp:cNvPr id="0" name=""/>
        <dsp:cNvSpPr/>
      </dsp:nvSpPr>
      <dsp:spPr>
        <a:xfrm>
          <a:off x="1272935" y="644318"/>
          <a:ext cx="302037" cy="302037"/>
        </a:xfrm>
        <a:prstGeom prst="mathMinus">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kumimoji="1" lang="ja-JP" altLang="en-US" sz="500" b="1" kern="1200"/>
        </a:p>
      </dsp:txBody>
      <dsp:txXfrm>
        <a:off x="1312970" y="759817"/>
        <a:ext cx="221967" cy="71039"/>
      </dsp:txXfrm>
    </dsp:sp>
    <dsp:sp modelId="{04409922-1378-4DAB-ABBD-14A995AFD75B}">
      <dsp:nvSpPr>
        <dsp:cNvPr id="0" name=""/>
        <dsp:cNvSpPr/>
      </dsp:nvSpPr>
      <dsp:spPr>
        <a:xfrm>
          <a:off x="1617258" y="181381"/>
          <a:ext cx="1227912" cy="1227912"/>
        </a:xfrm>
        <a:prstGeom prst="roundRect">
          <a:avLst/>
        </a:prstGeom>
        <a:gradFill rotWithShape="0">
          <a:gsLst>
            <a:gs pos="0">
              <a:schemeClr val="accent4">
                <a:hueOff val="3465231"/>
                <a:satOff val="-15989"/>
                <a:lumOff val="588"/>
                <a:alphaOff val="0"/>
                <a:satMod val="103000"/>
                <a:lumMod val="102000"/>
                <a:tint val="94000"/>
              </a:schemeClr>
            </a:gs>
            <a:gs pos="50000">
              <a:schemeClr val="accent4">
                <a:hueOff val="3465231"/>
                <a:satOff val="-15989"/>
                <a:lumOff val="588"/>
                <a:alphaOff val="0"/>
                <a:satMod val="110000"/>
                <a:lumMod val="100000"/>
                <a:shade val="100000"/>
              </a:schemeClr>
            </a:gs>
            <a:gs pos="100000">
              <a:schemeClr val="accent4">
                <a:hueOff val="3465231"/>
                <a:satOff val="-15989"/>
                <a:lumOff val="588"/>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ja-JP" altLang="en-US" sz="1400" b="0" kern="1200">
              <a:latin typeface="HG創英角ｺﾞｼｯｸUB" pitchFamily="49" charset="-128"/>
              <a:ea typeface="HG創英角ｺﾞｼｯｸUB" pitchFamily="49" charset="-128"/>
            </a:rPr>
            <a:t>保険金などで補てんされる金額</a:t>
          </a:r>
          <a:endParaRPr kumimoji="1" lang="ja-JP" altLang="en-US" sz="1400" b="0" kern="1200">
            <a:latin typeface="HG創英角ｺﾞｼｯｸUB" pitchFamily="49" charset="-128"/>
            <a:ea typeface="HG創英角ｺﾞｼｯｸUB" pitchFamily="49" charset="-128"/>
          </a:endParaRPr>
        </a:p>
      </dsp:txBody>
      <dsp:txXfrm>
        <a:off x="1677200" y="241323"/>
        <a:ext cx="1108028" cy="1108028"/>
      </dsp:txXfrm>
    </dsp:sp>
    <dsp:sp modelId="{DCE47B08-A1E3-44DF-8A12-82F2755DC635}">
      <dsp:nvSpPr>
        <dsp:cNvPr id="0" name=""/>
        <dsp:cNvSpPr/>
      </dsp:nvSpPr>
      <dsp:spPr>
        <a:xfrm>
          <a:off x="2887456" y="644318"/>
          <a:ext cx="302037" cy="302037"/>
        </a:xfrm>
        <a:prstGeom prst="mathMinus">
          <a:avLst/>
        </a:prstGeom>
        <a:gradFill rotWithShape="0">
          <a:gsLst>
            <a:gs pos="0">
              <a:schemeClr val="accent4">
                <a:hueOff val="5197846"/>
                <a:satOff val="-23984"/>
                <a:lumOff val="883"/>
                <a:alphaOff val="0"/>
                <a:satMod val="103000"/>
                <a:lumMod val="102000"/>
                <a:tint val="94000"/>
              </a:schemeClr>
            </a:gs>
            <a:gs pos="50000">
              <a:schemeClr val="accent4">
                <a:hueOff val="5197846"/>
                <a:satOff val="-23984"/>
                <a:lumOff val="883"/>
                <a:alphaOff val="0"/>
                <a:satMod val="110000"/>
                <a:lumMod val="100000"/>
                <a:shade val="100000"/>
              </a:schemeClr>
            </a:gs>
            <a:gs pos="100000">
              <a:schemeClr val="accent4">
                <a:hueOff val="5197846"/>
                <a:satOff val="-23984"/>
                <a:lumOff val="883"/>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kumimoji="1" lang="ja-JP" altLang="en-US" sz="500" b="1" kern="1200"/>
        </a:p>
      </dsp:txBody>
      <dsp:txXfrm>
        <a:off x="2927491" y="759817"/>
        <a:ext cx="221967" cy="71039"/>
      </dsp:txXfrm>
    </dsp:sp>
    <dsp:sp modelId="{905D9761-42DB-4CF6-8EC9-5E478C70B120}">
      <dsp:nvSpPr>
        <dsp:cNvPr id="0" name=""/>
        <dsp:cNvSpPr/>
      </dsp:nvSpPr>
      <dsp:spPr>
        <a:xfrm>
          <a:off x="3231778" y="181381"/>
          <a:ext cx="1227912" cy="1227912"/>
        </a:xfrm>
        <a:prstGeom prst="roundRect">
          <a:avLst/>
        </a:prstGeom>
        <a:gradFill rotWithShape="0">
          <a:gsLst>
            <a:gs pos="0">
              <a:schemeClr val="accent4">
                <a:hueOff val="6930461"/>
                <a:satOff val="-31979"/>
                <a:lumOff val="1177"/>
                <a:alphaOff val="0"/>
                <a:satMod val="103000"/>
                <a:lumMod val="102000"/>
                <a:tint val="94000"/>
              </a:schemeClr>
            </a:gs>
            <a:gs pos="50000">
              <a:schemeClr val="accent4">
                <a:hueOff val="6930461"/>
                <a:satOff val="-31979"/>
                <a:lumOff val="1177"/>
                <a:alphaOff val="0"/>
                <a:satMod val="110000"/>
                <a:lumMod val="100000"/>
                <a:shade val="100000"/>
              </a:schemeClr>
            </a:gs>
            <a:gs pos="100000">
              <a:schemeClr val="accent4">
                <a:hueOff val="6930461"/>
                <a:satOff val="-31979"/>
                <a:lumOff val="1177"/>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b="0" kern="1200">
              <a:latin typeface="HG創英角ｺﾞｼｯｸUB" pitchFamily="49" charset="-128"/>
              <a:ea typeface="HG創英角ｺﾞｼｯｸUB" pitchFamily="49" charset="-128"/>
            </a:rPr>
            <a:t>10</a:t>
          </a:r>
          <a:r>
            <a:rPr lang="ja-JP" sz="1400" b="0" kern="1200">
              <a:latin typeface="HG創英角ｺﾞｼｯｸUB" pitchFamily="49" charset="-128"/>
              <a:ea typeface="HG創英角ｺﾞｼｯｸUB" pitchFamily="49" charset="-128"/>
            </a:rPr>
            <a:t>万円</a:t>
          </a:r>
          <a:r>
            <a:rPr lang="en-US" altLang="ja-JP" sz="1200" b="0" kern="1200">
              <a:latin typeface="HG創英角ｺﾞｼｯｸUB" pitchFamily="49" charset="-128"/>
              <a:ea typeface="HG創英角ｺﾞｼｯｸUB" pitchFamily="49" charset="-128"/>
            </a:rPr>
            <a:t/>
          </a:r>
          <a:br>
            <a:rPr lang="en-US" altLang="ja-JP" sz="1200" b="0" kern="1200">
              <a:latin typeface="HG創英角ｺﾞｼｯｸUB" pitchFamily="49" charset="-128"/>
              <a:ea typeface="HG創英角ｺﾞｼｯｸUB" pitchFamily="49" charset="-128"/>
            </a:rPr>
          </a:br>
          <a:r>
            <a:rPr lang="ja-JP" sz="900" b="0" kern="1200">
              <a:latin typeface="HG創英角ｺﾞｼｯｸUB" pitchFamily="49" charset="-128"/>
              <a:ea typeface="HG創英角ｺﾞｼｯｸUB" pitchFamily="49" charset="-128"/>
            </a:rPr>
            <a:t>（所得合計額が</a:t>
          </a:r>
          <a:r>
            <a:rPr lang="en-US" sz="900" b="0" kern="1200">
              <a:latin typeface="HG創英角ｺﾞｼｯｸUB" pitchFamily="49" charset="-128"/>
              <a:ea typeface="HG創英角ｺﾞｼｯｸUB" pitchFamily="49" charset="-128"/>
            </a:rPr>
            <a:t>200</a:t>
          </a:r>
          <a:r>
            <a:rPr lang="ja-JP" sz="900" b="0" kern="1200">
              <a:latin typeface="HG創英角ｺﾞｼｯｸUB" pitchFamily="49" charset="-128"/>
              <a:ea typeface="HG創英角ｺﾞｼｯｸUB" pitchFamily="49" charset="-128"/>
            </a:rPr>
            <a:t>万円</a:t>
          </a:r>
          <a:r>
            <a:rPr lang="ja-JP" altLang="en-US" sz="900" b="0" kern="1200">
              <a:latin typeface="HG創英角ｺﾞｼｯｸUB" pitchFamily="49" charset="-128"/>
              <a:ea typeface="HG創英角ｺﾞｼｯｸUB" pitchFamily="49" charset="-128"/>
            </a:rPr>
            <a:t>未満の場合は所得</a:t>
          </a:r>
          <a:r>
            <a:rPr lang="ja-JP" sz="900" b="0" kern="1200">
              <a:latin typeface="HG創英角ｺﾞｼｯｸUB" pitchFamily="49" charset="-128"/>
              <a:ea typeface="HG創英角ｺﾞｼｯｸUB" pitchFamily="49" charset="-128"/>
            </a:rPr>
            <a:t>額の</a:t>
          </a:r>
          <a:r>
            <a:rPr lang="en-US" sz="900" b="0" kern="1200">
              <a:latin typeface="HG創英角ｺﾞｼｯｸUB" pitchFamily="49" charset="-128"/>
              <a:ea typeface="HG創英角ｺﾞｼｯｸUB" pitchFamily="49" charset="-128"/>
            </a:rPr>
            <a:t>5%</a:t>
          </a:r>
          <a:r>
            <a:rPr lang="ja-JP" sz="900" b="0" kern="1200">
              <a:latin typeface="HG創英角ｺﾞｼｯｸUB" pitchFamily="49" charset="-128"/>
              <a:ea typeface="HG創英角ｺﾞｼｯｸUB" pitchFamily="49" charset="-128"/>
            </a:rPr>
            <a:t>）</a:t>
          </a:r>
          <a:endParaRPr kumimoji="1" lang="ja-JP" altLang="en-US" sz="900" b="0" kern="1200">
            <a:latin typeface="HG創英角ｺﾞｼｯｸUB" pitchFamily="49" charset="-128"/>
            <a:ea typeface="HG創英角ｺﾞｼｯｸUB" pitchFamily="49" charset="-128"/>
          </a:endParaRPr>
        </a:p>
      </dsp:txBody>
      <dsp:txXfrm>
        <a:off x="3291720" y="241323"/>
        <a:ext cx="1108028" cy="1108028"/>
      </dsp:txXfrm>
    </dsp:sp>
    <dsp:sp modelId="{D18633F8-CAA6-4D03-9421-3427D87C30A9}">
      <dsp:nvSpPr>
        <dsp:cNvPr id="0" name=""/>
        <dsp:cNvSpPr/>
      </dsp:nvSpPr>
      <dsp:spPr>
        <a:xfrm>
          <a:off x="4501976" y="644318"/>
          <a:ext cx="302037" cy="302037"/>
        </a:xfrm>
        <a:prstGeom prst="mathEqual">
          <a:avLst/>
        </a:prstGeom>
        <a:gradFill rotWithShape="0">
          <a:gsLst>
            <a:gs pos="0">
              <a:schemeClr val="accent4">
                <a:hueOff val="10395692"/>
                <a:satOff val="-47968"/>
                <a:lumOff val="1765"/>
                <a:alphaOff val="0"/>
                <a:satMod val="103000"/>
                <a:lumMod val="102000"/>
                <a:tint val="94000"/>
              </a:schemeClr>
            </a:gs>
            <a:gs pos="50000">
              <a:schemeClr val="accent4">
                <a:hueOff val="10395692"/>
                <a:satOff val="-47968"/>
                <a:lumOff val="1765"/>
                <a:alphaOff val="0"/>
                <a:satMod val="110000"/>
                <a:lumMod val="100000"/>
                <a:shade val="100000"/>
              </a:schemeClr>
            </a:gs>
            <a:gs pos="100000">
              <a:schemeClr val="accent4">
                <a:hueOff val="10395692"/>
                <a:satOff val="-47968"/>
                <a:lumOff val="1765"/>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kumimoji="1" lang="ja-JP" altLang="en-US" sz="1200" b="1" kern="1200"/>
        </a:p>
      </dsp:txBody>
      <dsp:txXfrm>
        <a:off x="4542011" y="706538"/>
        <a:ext cx="221967" cy="177597"/>
      </dsp:txXfrm>
    </dsp:sp>
    <dsp:sp modelId="{5768195D-C32C-4C8C-B773-9E8BA791757F}">
      <dsp:nvSpPr>
        <dsp:cNvPr id="0" name=""/>
        <dsp:cNvSpPr/>
      </dsp:nvSpPr>
      <dsp:spPr>
        <a:xfrm>
          <a:off x="4846299" y="181381"/>
          <a:ext cx="1227912" cy="1227912"/>
        </a:xfrm>
        <a:prstGeom prst="roundRect">
          <a:avLst/>
        </a:prstGeom>
        <a:gradFill rotWithShape="0">
          <a:gsLst>
            <a:gs pos="0">
              <a:schemeClr val="accent4">
                <a:hueOff val="10395692"/>
                <a:satOff val="-47968"/>
                <a:lumOff val="1765"/>
                <a:alphaOff val="0"/>
                <a:satMod val="103000"/>
                <a:lumMod val="102000"/>
                <a:tint val="94000"/>
              </a:schemeClr>
            </a:gs>
            <a:gs pos="50000">
              <a:schemeClr val="accent4">
                <a:hueOff val="10395692"/>
                <a:satOff val="-47968"/>
                <a:lumOff val="1765"/>
                <a:alphaOff val="0"/>
                <a:satMod val="110000"/>
                <a:lumMod val="100000"/>
                <a:shade val="100000"/>
              </a:schemeClr>
            </a:gs>
            <a:gs pos="100000">
              <a:schemeClr val="accent4">
                <a:hueOff val="10395692"/>
                <a:satOff val="-47968"/>
                <a:lumOff val="1765"/>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ja-JP" sz="1800" b="0" kern="1200">
              <a:latin typeface="HG創英角ｺﾞｼｯｸUB" pitchFamily="49" charset="-128"/>
              <a:ea typeface="HG創英角ｺﾞｼｯｸUB" pitchFamily="49" charset="-128"/>
            </a:rPr>
            <a:t>医療費</a:t>
          </a:r>
          <a:r>
            <a:rPr lang="en-US" altLang="ja-JP" sz="1800" b="0" kern="1200">
              <a:latin typeface="HG創英角ｺﾞｼｯｸUB" pitchFamily="49" charset="-128"/>
              <a:ea typeface="HG創英角ｺﾞｼｯｸUB" pitchFamily="49" charset="-128"/>
            </a:rPr>
            <a:t/>
          </a:r>
          <a:br>
            <a:rPr lang="en-US" altLang="ja-JP" sz="1800" b="0" kern="1200">
              <a:latin typeface="HG創英角ｺﾞｼｯｸUB" pitchFamily="49" charset="-128"/>
              <a:ea typeface="HG創英角ｺﾞｼｯｸUB" pitchFamily="49" charset="-128"/>
            </a:rPr>
          </a:br>
          <a:r>
            <a:rPr lang="ja-JP" sz="1800" b="0" kern="1200">
              <a:latin typeface="HG創英角ｺﾞｼｯｸUB" pitchFamily="49" charset="-128"/>
              <a:ea typeface="HG創英角ｺﾞｼｯｸUB" pitchFamily="49" charset="-128"/>
            </a:rPr>
            <a:t>控除額</a:t>
          </a:r>
          <a:r>
            <a:rPr lang="en-US" altLang="ja-JP" sz="1800" b="0" kern="1200">
              <a:latin typeface="HG創英角ｺﾞｼｯｸUB" pitchFamily="49" charset="-128"/>
              <a:ea typeface="HG創英角ｺﾞｼｯｸUB" pitchFamily="49" charset="-128"/>
            </a:rPr>
            <a:t/>
          </a:r>
          <a:br>
            <a:rPr lang="en-US" altLang="ja-JP" sz="1800" b="0" kern="1200">
              <a:latin typeface="HG創英角ｺﾞｼｯｸUB" pitchFamily="49" charset="-128"/>
              <a:ea typeface="HG創英角ｺﾞｼｯｸUB" pitchFamily="49" charset="-128"/>
            </a:rPr>
          </a:br>
          <a:r>
            <a:rPr lang="ja-JP" sz="900" b="0" kern="1200">
              <a:latin typeface="HG創英角ｺﾞｼｯｸUB" pitchFamily="49" charset="-128"/>
              <a:ea typeface="HG創英角ｺﾞｼｯｸUB" pitchFamily="49" charset="-128"/>
            </a:rPr>
            <a:t>（最高</a:t>
          </a:r>
          <a:r>
            <a:rPr lang="en-US" sz="900" b="0" kern="1200">
              <a:latin typeface="HG創英角ｺﾞｼｯｸUB" pitchFamily="49" charset="-128"/>
              <a:ea typeface="HG創英角ｺﾞｼｯｸUB" pitchFamily="49" charset="-128"/>
            </a:rPr>
            <a:t>200</a:t>
          </a:r>
          <a:r>
            <a:rPr lang="ja-JP" sz="900" b="0" kern="1200">
              <a:latin typeface="HG創英角ｺﾞｼｯｸUB" pitchFamily="49" charset="-128"/>
              <a:ea typeface="HG創英角ｺﾞｼｯｸUB" pitchFamily="49" charset="-128"/>
            </a:rPr>
            <a:t>万円）</a:t>
          </a:r>
          <a:endParaRPr kumimoji="1" lang="ja-JP" altLang="en-US" sz="1000" b="0" kern="1200">
            <a:latin typeface="HG創英角ｺﾞｼｯｸUB" pitchFamily="49" charset="-128"/>
            <a:ea typeface="HG創英角ｺﾞｼｯｸUB" pitchFamily="49" charset="-128"/>
          </a:endParaRPr>
        </a:p>
      </dsp:txBody>
      <dsp:txXfrm>
        <a:off x="4906241" y="241323"/>
        <a:ext cx="1108028" cy="1108028"/>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AAD18-1CA8-45DA-A178-B80C5B028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461</Words>
  <Characters>2633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8</cp:revision>
  <dcterms:created xsi:type="dcterms:W3CDTF">2012-10-10T13:28:00Z</dcterms:created>
  <dcterms:modified xsi:type="dcterms:W3CDTF">2013-03-31T15:00:00Z</dcterms:modified>
</cp:coreProperties>
</file>